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60-Second Reset</w:t>
      </w:r>
    </w:p>
    <w:p>
      <w:r>
        <w:rPr>
          <w:rFonts w:ascii="Noto Sans Myanmar" w:hAnsi="Noto Sans Myanmar" w:eastAsia="Noto Sans Myanmar"/>
          <w:color w:val="722F37"/>
          <w:sz w:val="30"/>
        </w:rPr>
        <w:t>စက္ကန့် ၆၀ Reset</w:t>
      </w:r>
    </w:p>
    <w:p>
      <w:r>
        <w:rPr>
          <w:b/>
          <w:color w:val="6B7280"/>
          <w:sz w:val="17"/>
        </w:rPr>
        <w:t>CAMPAIGN / ACTIVATION + SOCIAL PREPARATION PROPOSAL  •  CMP-2026-BEAUTY-04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short-form routine challenge and counter-side reset station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Short-form beauty content can pressure people to seek an instant result rather than understand a routine’s permitted use.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Social-first beauty audiences and client-owned community channels.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pause before the scroll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Always-on preparation with client-confirmed weekly cadence; channel, account and exact publishing scope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one-minute non-product reset prompt routes participants to approved education content or an opt-in reminder.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slow beauty reset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Short captions, story polls and a moderation playbook for routine questions.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Six 60-second reset variants: desk, commute, evening, weekend, weather, gentle pause; no result/benefit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Video completion; approved poll participation; opt-in education reminders.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12.2m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18.6m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29.4m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3.0m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5.0m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3.0m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2.0m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1.9m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1.9m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1.9m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