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Glow, Not Pressure</w:t>
      </w:r>
    </w:p>
    <w:p>
      <w:r>
        <w:rPr>
          <w:rFonts w:ascii="Noto Sans Myanmar" w:hAnsi="Noto Sans Myanmar" w:eastAsia="Noto Sans Myanmar"/>
          <w:color w:val="722F37"/>
          <w:sz w:val="30"/>
        </w:rPr>
        <w:t>ဖိအားမဟုတ်တဲ့ Glow</w:t>
      </w:r>
    </w:p>
    <w:p>
      <w:r>
        <w:rPr>
          <w:b/>
          <w:color w:val="6B7280"/>
          <w:sz w:val="17"/>
        </w:rPr>
        <w:t>CAMPAIGN / ACTIVATION + SOCIAL PREPARATION PROPOSAL  •  CMP-2026-BEAUTY-08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confidence-first community workshop and moderated creator conversation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messaging can unintentionally exploit insecurities or reinforce a narrow ideal.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community audience and creators; safeguarding and moderation owners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Beauty without the comparison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community period; partners, speakers and safeguarding controls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consented reflection card unlocks approved education content or a community-session registration.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confidence and safeguarding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Positive community prompts, moderation matrices and creator safety briefing.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Creator-led “one thing I choose for myself” formats; no body shaming, insecurity exploitation or testimonials.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Moderation response time; safety incidents logged; consented workshop registrations.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15.1m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23.4m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36.5m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6.3m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2.6m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