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Pack to Purpose</w:t>
      </w:r>
    </w:p>
    <w:p>
      <w:r>
        <w:rPr>
          <w:rFonts w:ascii="Noto Sans Myanmar" w:hAnsi="Noto Sans Myanmar" w:eastAsia="Noto Sans Myanmar"/>
          <w:color w:val="722F37"/>
          <w:sz w:val="30"/>
        </w:rPr>
        <w:t>Pack ကနေ Purpose ဆီ</w:t>
      </w:r>
    </w:p>
    <w:p>
      <w:r>
        <w:rPr>
          <w:b/>
          <w:color w:val="6B7280"/>
          <w:sz w:val="17"/>
        </w:rPr>
        <w:t>CAMPAIGN / ACTIVATION + SOCIAL PREPARATION PROPOSAL  •  CMP-2026-BEAUTY-09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pack-story retail trail and product-information social carousel preparation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Packaging can become only an aesthetic signal when users cannot easily find client-approved use, disposal, batch, label or care information.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Retail visitors and digital product researchers; pack artwork and claims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pack can start a clearer conversation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launch / relaunch window; exact pack and retailer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pack-question trail leads to a client-approved information hub or retailer-assistance request.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 literacy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Bilingual pack-reading carousel, retailer help routing and product-fact approval checklist.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Pack-detail videos explain “read / confirm / ask” through mock packs; real labels and claims require approval.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Carousel saves; approved information-hub visits; retailer-assistance requests.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17.9m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27.6m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42.4m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4.4m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7.5m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4.4m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3.0m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