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Pour Culture — Beverage Brand Activation</w:t>
      </w:r>
    </w:p>
    <w:p>
      <w:pPr>
        <w:spacing w:after="40"/>
      </w:pPr>
      <w:r>
        <w:rPr>
          <w:b w:val="0"/>
          <w:color w:val="9A7D1E"/>
          <w:sz w:val="19"/>
        </w:rPr>
        <w:t>FMCG &amp; Consumer Goods · Campaign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60"/>
      </w:pPr>
      <w:r>
        <w:rPr>
          <w:b/>
          <w:color w:val="9A7D1E"/>
          <w:sz w:val="20"/>
        </w:rPr>
        <w:t>THE BIG IDEA</w:t>
      </w:r>
    </w:p>
    <w:p>
      <w:pPr>
        <w:spacing w:after="200"/>
      </w:pPr>
      <w:r>
        <w:rPr>
          <w:b w:val="0"/>
          <w:sz w:val="21"/>
        </w:rPr>
        <w:t>Turn a beverage into a scene: a shareable ritual + city activations + creator seeding, engineered for muted-feed stopping power.</w:t>
      </w:r>
    </w:p>
    <w:p>
      <w:pPr>
        <w:spacing w:after="60"/>
      </w:pPr>
      <w:r>
        <w:rPr>
          <w:b/>
          <w:color w:val="9A7D1E"/>
          <w:sz w:val="20"/>
        </w:rPr>
        <w:t>KEY DELIVERABLES</w:t>
      </w:r>
    </w:p>
    <w:p>
      <w:pPr>
        <w:pStyle w:val="ListBullet"/>
      </w:pPr>
      <w:r>
        <w:t>Big idea + key visual</w:t>
      </w:r>
    </w:p>
    <w:p>
      <w:pPr>
        <w:pStyle w:val="ListBullet"/>
      </w:pPr>
      <w:r>
        <w:t>Activation kit (3 sites)</w:t>
      </w:r>
    </w:p>
    <w:p>
      <w:pPr>
        <w:pStyle w:val="ListBullet"/>
      </w:pPr>
      <w:r>
        <w:t>Reels + stills batch</w:t>
      </w:r>
    </w:p>
    <w:p>
      <w:pPr>
        <w:pStyle w:val="ListBullet"/>
      </w:pPr>
      <w:r>
        <w:t>Creator seeding</w:t>
      </w:r>
    </w:p>
    <w:p>
      <w:pPr>
        <w:pStyle w:val="ListBullet"/>
      </w:pPr>
      <w:r>
        <w:t>Sampling logistics</w:t>
      </w:r>
    </w:p>
    <w:p/>
    <w:p>
      <w:pPr>
        <w:spacing w:after="60"/>
      </w:pPr>
      <w:r>
        <w:rPr>
          <w:b/>
          <w:color w:val="9A7D1E"/>
          <w:sz w:val="20"/>
        </w:rPr>
        <w:t>KPIS</w:t>
      </w:r>
    </w:p>
    <w:p>
      <w:pPr>
        <w:spacing w:after="200"/>
      </w:pPr>
      <w:r>
        <w:rPr>
          <w:b w:val="0"/>
          <w:sz w:val="21"/>
        </w:rPr>
        <w:t>Reach &amp; engagement rate · sampling redemptions · UGC volume</w:t>
      </w:r>
    </w:p>
    <w:p>
      <w:pPr>
        <w:spacing w:after="60"/>
      </w:pPr>
      <w:r>
        <w:rPr>
          <w:b/>
          <w:color w:val="9A7D1E"/>
          <w:sz w:val="20"/>
        </w:rPr>
        <w:t>INVESTMENT</w:t>
      </w:r>
    </w:p>
    <w:p>
      <w:pPr>
        <w:spacing w:after="200"/>
      </w:pPr>
      <w:r>
        <w:rPr>
          <w:b w:val="0"/>
          <w:sz w:val="21"/>
        </w:rPr>
        <w:t>MMK 30–60M (~S$9–17k) · market FX, RFQ vendors, 50% deposit</w:t>
      </w:r>
    </w:p>
    <w:p>
      <w:pPr>
        <w:spacing w:after="60"/>
      </w:pPr>
      <w:r>
        <w:rPr>
          <w:b/>
          <w:color w:val="9A7D1E"/>
          <w:sz w:val="20"/>
        </w:rPr>
        <w:t>THE ZYNTH EDGE</w:t>
      </w:r>
    </w:p>
    <w:p>
      <w:pPr>
        <w:spacing w:after="200"/>
      </w:pPr>
      <w:r>
        <w:rPr>
          <w:b w:val="0"/>
          <w:sz w:val="21"/>
        </w:rPr>
        <w:t>Producer-led shoots at boutique cost.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