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Season of Belonging — Mall Festival</w:t>
      </w:r>
    </w:p>
    <w:p>
      <w:pPr>
        <w:spacing w:after="40"/>
      </w:pPr>
      <w:r>
        <w:rPr>
          <w:b w:val="0"/>
          <w:color w:val="9A7D1E"/>
          <w:sz w:val="19"/>
        </w:rPr>
        <w:t>Retail &amp; Shopping Malls · Event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A tentpole seasonal festival that fills the mall: hero installation, stage programming, tenant tie-ins, and a social wall driving dwell time.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Festival concept + zoning</w:t>
      </w:r>
    </w:p>
    <w:p>
      <w:pPr>
        <w:pStyle w:val="ListBullet"/>
      </w:pPr>
      <w:r>
        <w:t>Hero installation</w:t>
      </w:r>
    </w:p>
    <w:p>
      <w:pPr>
        <w:pStyle w:val="ListBullet"/>
      </w:pPr>
      <w:r>
        <w:t>Stage + performances</w:t>
      </w:r>
    </w:p>
    <w:p>
      <w:pPr>
        <w:pStyle w:val="ListBullet"/>
      </w:pPr>
      <w:r>
        <w:t>Tenant campaign</w:t>
      </w:r>
    </w:p>
    <w:p>
      <w:pPr>
        <w:pStyle w:val="ListBullet"/>
      </w:pPr>
      <w:r>
        <w:t>Daily content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Footfall uplift · tenant sales lift · social mentions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MMK 60–120M (~S$17–34k) · market FX, RFQ vendors, 50% deposit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End-to-end: concept → build → content.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