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12203A"/>
          <w:sz w:val="30"/>
        </w:rPr>
        <w:t>ZYNTH Daily Myanmar Brand-Activity Monitoring</w:t>
      </w:r>
    </w:p>
    <w:p>
      <w:pPr>
        <w:spacing w:after="100" w:line="252" w:lineRule="auto"/>
      </w:pPr>
      <w:r>
        <w:t>Capture date/time: 2026-08-20 UTC · Public, Myanmar-first universe · Cumulative registry update. This report records what was publicly discoverable and what was not; it does not claim coverage of every Facebook page or private profile.</w:t>
      </w:r>
    </w:p>
    <w:p>
      <w:pPr>
        <w:spacing w:before="200" w:after="80"/>
      </w:pPr>
      <w:r>
        <w:rPr>
          <w:b/>
          <w:color w:val="12203A"/>
          <w:sz w:val="30"/>
        </w:rPr>
        <w:t>Executive summary</w:t>
      </w:r>
    </w:p>
    <w:p>
      <w:pPr>
        <w:spacing w:after="100" w:line="252" w:lineRule="auto"/>
      </w:pPr>
      <w:r>
        <w:t>Today’s pass reviewed public first-party sources across hospitality, finance, tourism, technology, education, healthcare, automotive, real estate, beauty, manufacturing and social impact. The strongest planning signal is a need for proof-led, mobile-first journeys that connect public content to a human follow-up. Facebook page-level post capture was limited by login, dynamic rendering and rate-limit conditions on several pages; no hidden metrics were inferred.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Priority signal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ZYNTH opportunity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1. Proof beats broad claims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World Bank describes weak demand and operating uncertainty [1].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Build category-specific proof moments and attribution.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2. Mobile-first, not mobile-only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DataReportal reports 39.8m internet users and 21.0m social identities in late 2025 [2].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Use short video + CRM/sales handoff.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3. Local media pricing needs 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Marketing Myanmar labels Myanmar-specific benchmarks partly proxy-based [5].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Use test-and-learn budgets and quotation discipline.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4. Venue and production availability are live variables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Lotte page was bot-challenged in extraction; official venue capacity exists but quote is still required [4].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RFQ early; keep modular production options.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5. FX movement matters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Yoma Bank published MMK 3,658/USD trade-related average selling price on 2026-08-18 [6].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Date-stamp budgets and recheck at PO.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2203A"/>
          <w:sz w:val="30"/>
        </w:rPr>
        <w:t>Pages reviewed and cumulative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Organization / brand</w:t>
            </w:r>
          </w:p>
        </w:tc>
        <w:tc>
          <w:tcPr>
            <w:tcW w:type="dxa" w:w="1704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1704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Official URL</w:t>
            </w:r>
          </w:p>
        </w:tc>
        <w:tc>
          <w:tcPr>
            <w:tcW w:type="dxa" w:w="1704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Facebook URL status</w:t>
            </w:r>
          </w:p>
        </w:tc>
        <w:tc>
          <w:tcPr>
            <w:tcW w:type="dxa" w:w="1704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Verification date</w:t>
            </w:r>
          </w:p>
        </w:tc>
        <w:tc>
          <w:tcPr>
            <w:tcW w:type="dxa" w:w="1704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Ministry of Hotels and Tourism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Tourism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https://tourism.gov.mm/en/tourism-statistics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Not Facebook-verified in this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Yoma Bank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Financial services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https://www.yomabank.com/en/rates/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Not Facebook-verified in this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LOTTE HOTEL YANGON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Hospitality / MICE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https://www.lottehotel.com/yangon-hotel/en/wedding-convention/convention/overview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Bot challenge; no post capture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DataReportal Myanmar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Digital / research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https://datareportal.com/reports/digital-2026-myanmar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Publisher source, not brand page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2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Marketing Myanmar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Marketing services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https://marketingmyanmar.com/myanmar-advertising-costs-2026-facebook-google-tiktok-rate-card/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Publisher source, not brand page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2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World Bank Myanmar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Development / macro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https://www.worldbank.org/en/country/myanmar/overview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Publisher source, not brand page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Wave Money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Fintech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https://wavemoney.com.mm/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Official FB URL not verified in public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KBZ Bank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Banking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https://www.kbzbank.com/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Official FB URL not verified in public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MPT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Telecom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https://mpt.com.mm/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Official FB URL not verified in public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City Mart Holdings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Retail / FMCG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https://www.citymart.com.mm/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Official FB URL not verified in public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Coca-Cola Myanmar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FMCG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https://www.coca-cola.com/mm/en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Official FB URL not verified in public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2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Myanmar Airways International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Airline / tourism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https://www.maiair.com/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Official FB URL not verified in public pass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Tier 2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2203A"/>
          <w:sz w:val="30"/>
        </w:rPr>
        <w:t>New or changed post evidence</w:t>
      </w:r>
    </w:p>
    <w:p>
      <w:pPr>
        <w:spacing w:after="100" w:line="252" w:lineRule="auto"/>
      </w:pPr>
      <w:r>
        <w:t>Auditable public post-level evidence captured today: 0 verified changed posts. Limitation status: several Facebook pages were login-gated, dynamic, unavailable or not safely extractable without bypassing access controls. Official websites and publisher pages were used only for public triangulation. No private profiles, groups, chats or hidden metrics were accessed.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Evidence field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Post URL / official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No verified post URL captured today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Capture date/time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2026-08-20 UTC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Caption / hashtags / CTA / offer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Not recorded because no auditable changed post was verified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Visible reactions/comments/shares/views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Not recorded; no hidden metrics inferred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Visual asset analysis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No new asset saved from page-level monitoring today; proposal visuals are original planning diagrams, not research assets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Source 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Public website sources available; social post capture limited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2203A"/>
          <w:sz w:val="30"/>
        </w:rPr>
        <w:t>Creative and strategic signals</w:t>
      </w:r>
    </w:p>
    <w:p>
      <w:pPr>
        <w:spacing w:after="100" w:line="252" w:lineRule="auto"/>
      </w:pPr>
      <w:r>
        <w:t>Across the readable sources, the recurring pattern is a move toward practical proof: tourism pages foreground official information and statistics; venue pages foreground capacity and event utility; advertising guidance foregrounds testing, platform-native formats and proxy uncertainty; macro reporting foregrounds cost and demand pressure. The strongest CTA pattern for ZYNTH clients is a clear next-step booking, consultation, diagnostic or referral rather than a vague “learn more.” The weakest pattern is broad awareness copy without a named owner for follow-up.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b/>
                <w:color w:val="FFFFFF"/>
                <w:sz w:val="16"/>
              </w:rPr>
              <w:t>Opportunity for ZYNTH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Copy pattern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Practical, information-led, often English-first in formal sources.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Transcreate the proof into Burmese-first, mobile-native versions.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Visual trend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Venue and publisher pages are utility-led; social evidence unavailable in this pass.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Use modular proof cards, creator cutdowns and labelled journey steps.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CTA strength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Strong when tied to booking, inquiry, rate, event or statistics page; weak when generic.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Design one conversion and route it to a named owner.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Production effort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Planning sources do not reveal hidden production facts.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Do not infer craft level; validate with asset capture and supplier RFQ.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Cross-industry comparison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Hospitality/tourism sell access and experience; finance/health/education need trust and compliance; B2B needs proof and handoff.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2B2B2B"/>
                <w:sz w:val="16"/>
              </w:rPr>
              <w:t>Rotate event forms by commercial friction, not by category fashion.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2203A"/>
          <w:sz w:val="30"/>
        </w:rPr>
        <w:t>Recommended outreach targets and next-run watchlist</w:t>
      </w:r>
    </w:p>
    <w:p>
      <w:pPr>
        <w:spacing w:after="100" w:line="252" w:lineRule="auto"/>
      </w:pPr>
      <w:r>
        <w:t>Recommended outreach roles include Marketing Director, Brand Manager, Head of Sales, CRM/Customer Experience lead, Partnership lead, Admissions lead, Medical Marketing lead, Dealer Marketing lead, and Corporate Affairs/CSR lead. Watch next run: accessible official Facebook posts from fintech, retail, telecom, healthcare and automotive pages; public event announcements; creator/partner launches; and changes in platform reach or pricing assumptions.</w:t>
      </w:r>
    </w:p>
    <w:p>
      <w:pPr>
        <w:spacing w:before="200" w:after="80"/>
      </w:pPr>
      <w:r>
        <w:rPr>
          <w:b/>
          <w:color w:val="12203A"/>
          <w:sz w:val="30"/>
        </w:rPr>
        <w:t>Appendix: raw evidence and source register</w:t>
      </w:r>
    </w:p>
    <w:p>
      <w:pPr>
        <w:spacing w:after="100" w:line="252" w:lineRule="auto"/>
      </w:pPr>
      <w:r>
        <w:t>[1] Myanmar Economic Monitor, June 2026: Shock Amid Fragility — https://reliefweb.int/report/myanmar/myanmar-economic-monitor-june-2026-shock-amid-fragility-enmy — published/accessed 2026-06-16 — supports Macro conditions, fuel shock, inflation, weak demand, operating uncertainty.</w:t>
      </w:r>
    </w:p>
    <w:p>
      <w:pPr>
        <w:spacing w:after="100" w:line="252" w:lineRule="auto"/>
      </w:pPr>
      <w:r>
        <w:t>[2] Digital 2026: Myanmar — https://datareportal.com/reports/digital-2026-myanmar — published/accessed 2025-11-08 — supports Internet, mobile and social-media planning context; late-2025 data used for 2026 planning.</w:t>
      </w:r>
    </w:p>
    <w:p>
      <w:pPr>
        <w:spacing w:after="100" w:line="252" w:lineRule="auto"/>
      </w:pPr>
      <w:r>
        <w:t>[3] Myanmar Ministry of Hotels and Tourism — Tourism Statistics — https://tourism.gov.mm/en/tourism-statistics — published/accessed accessed 2026-08-20 — supports Official tourism statistics archive and sector source hierarchy.</w:t>
      </w:r>
    </w:p>
    <w:p>
      <w:pPr>
        <w:spacing w:after="100" w:line="252" w:lineRule="auto"/>
      </w:pPr>
      <w:r>
        <w:t>[4] LOTTE HOTEL YANGON — Event Spaces — https://www.lottehotel.com/yangon-hotel/en/wedding-convention/convention/overview — published/accessed accessed 2026-08-20 — supports Venue capacity and event-space existence; live page presented a bot challenge, so quotation required.</w:t>
      </w:r>
    </w:p>
    <w:p>
      <w:pPr>
        <w:spacing w:after="100" w:line="252" w:lineRule="auto"/>
      </w:pPr>
      <w:r>
        <w:t>[5] Myanmar Advertising Costs 2026: Facebook, Google, TikTok Rate Card — https://marketingmyanmar.com/myanmar-advertising-costs-2026-facebook-google-tiktok-rate-card/ — published/accessed 2026-03-20 — supports Indicative Myanmar digital media ranges, explicitly proxy-based where platform data is unavailable.</w:t>
      </w:r>
    </w:p>
    <w:p>
      <w:pPr>
        <w:spacing w:after="100" w:line="252" w:lineRule="auto"/>
      </w:pPr>
      <w:r>
        <w:t>[6] Yoma Bank — Currency Exchange Rates — https://www.yomabank.com/en/rates/ — published/accessed 2026-08-18 — supports Dated indicative USD/MMK assumption: MMK 3,658 trade-related average selling price; rates are not binding.</w:t>
      </w:r>
    </w:p>
    <w:p>
      <w:pPr>
        <w:spacing w:after="100" w:line="252" w:lineRule="auto"/>
      </w:pPr>
      <w:r>
        <w:t>[7] World Bank Myanmar Overview — https://www.worldbank.org/en/country/myanmar/overview — published/accessed accessed 2026-08-20 — supports First-party World Bank Myanmar publication hub and country context.</w:t>
      </w:r>
    </w:p>
    <w:p>
      <w:pPr>
        <w:spacing w:after="100" w:line="252" w:lineRule="auto"/>
      </w:pPr>
      <w:r>
        <w:t>[8] ZYNTH internal planning knowledge — Myanmar event landscape — https://github.com/zanezynthbrain/zynth-brain/blob/main/backend/knowledge/22_myanmar_event_landscape.md — published/accessed accessed 2026-08-20 — supports Internal planning ranges and venue/vendor starting points; all require RFQ validation.</w:t>
      </w:r>
    </w:p>
    <w:p>
      <w:pPr>
        <w:spacing w:after="100" w:line="252" w:lineRule="auto"/>
      </w:pPr>
      <w:r>
        <w:t>[9] ZYNTH internal planning knowledge — pricing and standards — https://github.com/zanezynthbrain/zynth-brain/blob/main/backend/knowledge/09_pricing_and_standards.md — published/accessed accessed 2026-08-20 — supports Agency fee models, deposit convention, contingency and service standards; not supplier quotes.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