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Future Ready Lab</w:t>
      </w:r>
    </w:p>
    <w:p>
      <w:pPr>
        <w:spacing w:after="100" w:line="252" w:lineRule="auto"/>
      </w:pPr>
      <w:r>
        <w:t>Education · Myanmar commercial context · Masterclass series + admissions funnel + alumni proof content</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Private school, university or professional training provider faces a specific commercial tension: Education brands compete on promises of a better future while families increasingly demand evidence of relevance and outcomes. The opportunity is to change one behaviour — prospective learners complete a short future-skills task, see a proof-of-learning moment, and book a guided consultation. — so that the audience moves from passive interest to a measurable qualified admissions enquiry, campus tour, application or course consultation..</w:t>
      </w:r>
    </w:p>
    <w:p>
      <w:pPr>
        <w:spacing w:after="100" w:line="252" w:lineRule="auto"/>
      </w:pPr>
      <w:r>
        <w:t>The proposed platform is **Future Ready Lab**. Its promise is: “Try the future before you choose it.” The architecture combines masterclass series + admissions funnel + alumni proof content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76,000,000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Qualified admissions enquiry, campus tour, application or course consultation.</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education, the commercial opportunity is to reduce one form of hesitation: education brands compete on promises of a better future while families increasingly demand evidence of relevance and outcomes..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A learner believes an institution when they can experience a small piece of the future capability, not just hear about it.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Private school, university or professional training provider the easiest credible next step for the audience’s current need. The single behaviour change is: Prospective learners complete a short future-skills task, see a proof-of-learning moment, and book a guided consultation..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Students 16–30, parents/guardians, career switchers and employers sponsoring learning.</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**Future Ready Lab** turns the category’s abstract promise into a tangible proof moment. Promise: “Try the future before you choose it.”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The 20-minute challenge: real task, visible output.</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Proof Wall: alumni work with context and outcomes.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Parent/learner split-room Q&amp;A.</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Admissions concierge follow-up within one business day.</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Three masterclass Saturdays plus digital lead nurture.; the distribution layer is TikTok/Reels, Facebook, school CRM, Google Search, alumni creators, parent communities, open-day PR.; the conversion layer is Qualified admissions enquiry, campus tour, application or course consultation..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Campus innovation room or co-working venue, Yangon; TBC. Production direction: Lab-style modular tables, 16m x 12m room, projection and demo screens, accessible seating, quiet room..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future_ready_lab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future_ready_lab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Facilitators, alumni speakers TBC, moderator, 2 creator hosts; no entertainment.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3,360,000</w:t>
            </w:r>
          </w:p>
        </w:tc>
        <w:tc>
          <w:tcPr>
            <w:tcW w:type="dxa" w:w="1461"/>
            <w:vAlign w:val="center"/>
          </w:tcPr>
          <w:p>
            <w:r/>
            <w:r>
              <w:rPr>
                <w:b w:val="0"/>
                <w:color w:val="2B2B2B"/>
                <w:sz w:val="16"/>
              </w:rPr>
              <w:t>6,080,000</w:t>
            </w:r>
          </w:p>
        </w:tc>
        <w:tc>
          <w:tcPr>
            <w:tcW w:type="dxa" w:w="1461"/>
            <w:vAlign w:val="center"/>
          </w:tcPr>
          <w:p>
            <w:r/>
            <w:r>
              <w:rPr>
                <w:b w:val="0"/>
                <w:color w:val="2B2B2B"/>
                <w:sz w:val="16"/>
              </w:rPr>
              <w:t>8,260,000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2,940,000</w:t>
            </w:r>
          </w:p>
        </w:tc>
        <w:tc>
          <w:tcPr>
            <w:tcW w:type="dxa" w:w="1461"/>
            <w:vAlign w:val="center"/>
          </w:tcPr>
          <w:p>
            <w:r/>
            <w:r>
              <w:rPr>
                <w:b w:val="0"/>
                <w:color w:val="2B2B2B"/>
                <w:sz w:val="16"/>
              </w:rPr>
              <w:t>5,320,000</w:t>
            </w:r>
          </w:p>
        </w:tc>
        <w:tc>
          <w:tcPr>
            <w:tcW w:type="dxa" w:w="1461"/>
            <w:vAlign w:val="center"/>
          </w:tcPr>
          <w:p>
            <w:r/>
            <w:r>
              <w:rPr>
                <w:b w:val="0"/>
                <w:color w:val="2B2B2B"/>
                <w:sz w:val="16"/>
              </w:rPr>
              <w:t>7,670,000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2,520,000</w:t>
            </w:r>
          </w:p>
        </w:tc>
        <w:tc>
          <w:tcPr>
            <w:tcW w:type="dxa" w:w="1461"/>
            <w:vAlign w:val="center"/>
          </w:tcPr>
          <w:p>
            <w:r/>
            <w:r>
              <w:rPr>
                <w:b w:val="0"/>
                <w:color w:val="2B2B2B"/>
                <w:sz w:val="16"/>
              </w:rPr>
              <w:t>4,560,000</w:t>
            </w:r>
          </w:p>
        </w:tc>
        <w:tc>
          <w:tcPr>
            <w:tcW w:type="dxa" w:w="1461"/>
            <w:vAlign w:val="center"/>
          </w:tcPr>
          <w:p>
            <w:r/>
            <w:r>
              <w:rPr>
                <w:b w:val="0"/>
                <w:color w:val="2B2B2B"/>
                <w:sz w:val="16"/>
              </w:rPr>
              <w:t>7,080,000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2,100,000</w:t>
            </w:r>
          </w:p>
        </w:tc>
        <w:tc>
          <w:tcPr>
            <w:tcW w:type="dxa" w:w="1461"/>
            <w:vAlign w:val="center"/>
          </w:tcPr>
          <w:p>
            <w:r/>
            <w:r>
              <w:rPr>
                <w:b w:val="0"/>
                <w:color w:val="2B2B2B"/>
                <w:sz w:val="16"/>
              </w:rPr>
              <w:t>3,800,000</w:t>
            </w:r>
          </w:p>
        </w:tc>
        <w:tc>
          <w:tcPr>
            <w:tcW w:type="dxa" w:w="1461"/>
            <w:vAlign w:val="center"/>
          </w:tcPr>
          <w:p>
            <w:r/>
            <w:r>
              <w:rPr>
                <w:b w:val="0"/>
                <w:color w:val="2B2B2B"/>
                <w:sz w:val="16"/>
              </w:rPr>
              <w:t>6,490,000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3,360,000</w:t>
            </w:r>
          </w:p>
        </w:tc>
        <w:tc>
          <w:tcPr>
            <w:tcW w:type="dxa" w:w="1461"/>
            <w:vAlign w:val="center"/>
          </w:tcPr>
          <w:p>
            <w:r/>
            <w:r>
              <w:rPr>
                <w:b w:val="0"/>
                <w:color w:val="2B2B2B"/>
                <w:sz w:val="16"/>
              </w:rPr>
              <w:t>6,080,000</w:t>
            </w:r>
          </w:p>
        </w:tc>
        <w:tc>
          <w:tcPr>
            <w:tcW w:type="dxa" w:w="1461"/>
            <w:vAlign w:val="center"/>
          </w:tcPr>
          <w:p>
            <w:r/>
            <w:r>
              <w:rPr>
                <w:b w:val="0"/>
                <w:color w:val="2B2B2B"/>
                <w:sz w:val="16"/>
              </w:rPr>
              <w:t>8,850,000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5,040,000</w:t>
            </w:r>
          </w:p>
        </w:tc>
        <w:tc>
          <w:tcPr>
            <w:tcW w:type="dxa" w:w="1461"/>
            <w:vAlign w:val="center"/>
          </w:tcPr>
          <w:p>
            <w:r/>
            <w:r>
              <w:rPr>
                <w:b w:val="0"/>
                <w:color w:val="2B2B2B"/>
                <w:sz w:val="16"/>
              </w:rPr>
              <w:t>9,120,000</w:t>
            </w:r>
          </w:p>
        </w:tc>
        <w:tc>
          <w:tcPr>
            <w:tcW w:type="dxa" w:w="1461"/>
            <w:vAlign w:val="center"/>
          </w:tcPr>
          <w:p>
            <w:r/>
            <w:r>
              <w:rPr>
                <w:b w:val="0"/>
                <w:color w:val="2B2B2B"/>
                <w:sz w:val="16"/>
              </w:rPr>
              <w:t>15,340,000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3,360,000</w:t>
            </w:r>
          </w:p>
        </w:tc>
        <w:tc>
          <w:tcPr>
            <w:tcW w:type="dxa" w:w="1461"/>
            <w:vAlign w:val="center"/>
          </w:tcPr>
          <w:p>
            <w:r/>
            <w:r>
              <w:rPr>
                <w:b w:val="0"/>
                <w:color w:val="2B2B2B"/>
                <w:sz w:val="16"/>
              </w:rPr>
              <w:t>6,840,000</w:t>
            </w:r>
          </w:p>
        </w:tc>
        <w:tc>
          <w:tcPr>
            <w:tcW w:type="dxa" w:w="1461"/>
            <w:vAlign w:val="center"/>
          </w:tcPr>
          <w:p>
            <w:r/>
            <w:r>
              <w:rPr>
                <w:b w:val="0"/>
                <w:color w:val="2B2B2B"/>
                <w:sz w:val="16"/>
              </w:rPr>
              <w:t>11,800,000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2,100,000</w:t>
            </w:r>
          </w:p>
        </w:tc>
        <w:tc>
          <w:tcPr>
            <w:tcW w:type="dxa" w:w="1461"/>
            <w:vAlign w:val="center"/>
          </w:tcPr>
          <w:p>
            <w:r/>
            <w:r>
              <w:rPr>
                <w:b w:val="0"/>
                <w:color w:val="2B2B2B"/>
                <w:sz w:val="16"/>
              </w:rPr>
              <w:t>3,800,000</w:t>
            </w:r>
          </w:p>
        </w:tc>
        <w:tc>
          <w:tcPr>
            <w:tcW w:type="dxa" w:w="1461"/>
            <w:vAlign w:val="center"/>
          </w:tcPr>
          <w:p>
            <w:r/>
            <w:r>
              <w:rPr>
                <w:b w:val="0"/>
                <w:color w:val="2B2B2B"/>
                <w:sz w:val="16"/>
              </w:rPr>
              <w:t>6,490,000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2,940,000</w:t>
            </w:r>
          </w:p>
        </w:tc>
        <w:tc>
          <w:tcPr>
            <w:tcW w:type="dxa" w:w="1461"/>
            <w:vAlign w:val="center"/>
          </w:tcPr>
          <w:p>
            <w:r/>
            <w:r>
              <w:rPr>
                <w:b w:val="0"/>
                <w:color w:val="2B2B2B"/>
                <w:sz w:val="16"/>
              </w:rPr>
              <w:t>6,840,000</w:t>
            </w:r>
          </w:p>
        </w:tc>
        <w:tc>
          <w:tcPr>
            <w:tcW w:type="dxa" w:w="1461"/>
            <w:vAlign w:val="center"/>
          </w:tcPr>
          <w:p>
            <w:r/>
            <w:r>
              <w:rPr>
                <w:b w:val="0"/>
                <w:color w:val="2B2B2B"/>
                <w:sz w:val="16"/>
              </w:rPr>
              <w:t>11,800,000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2,520,000</w:t>
            </w:r>
          </w:p>
        </w:tc>
        <w:tc>
          <w:tcPr>
            <w:tcW w:type="dxa" w:w="1461"/>
            <w:vAlign w:val="center"/>
          </w:tcPr>
          <w:p>
            <w:r/>
            <w:r>
              <w:rPr>
                <w:b w:val="0"/>
                <w:color w:val="2B2B2B"/>
                <w:sz w:val="16"/>
              </w:rPr>
              <w:t>5,320,000</w:t>
            </w:r>
          </w:p>
        </w:tc>
        <w:tc>
          <w:tcPr>
            <w:tcW w:type="dxa" w:w="1461"/>
            <w:vAlign w:val="center"/>
          </w:tcPr>
          <w:p>
            <w:r/>
            <w:r>
              <w:rPr>
                <w:b w:val="0"/>
                <w:color w:val="2B2B2B"/>
                <w:sz w:val="16"/>
              </w:rPr>
              <w:t>8,850,000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2,100,000</w:t>
            </w:r>
          </w:p>
        </w:tc>
        <w:tc>
          <w:tcPr>
            <w:tcW w:type="dxa" w:w="1461"/>
            <w:vAlign w:val="center"/>
          </w:tcPr>
          <w:p>
            <w:r/>
            <w:r>
              <w:rPr>
                <w:b w:val="0"/>
                <w:color w:val="2B2B2B"/>
                <w:sz w:val="16"/>
              </w:rPr>
              <w:t>3,800,000</w:t>
            </w:r>
          </w:p>
        </w:tc>
        <w:tc>
          <w:tcPr>
            <w:tcW w:type="dxa" w:w="1461"/>
            <w:vAlign w:val="center"/>
          </w:tcPr>
          <w:p>
            <w:r/>
            <w:r>
              <w:rPr>
                <w:b w:val="0"/>
                <w:color w:val="2B2B2B"/>
                <w:sz w:val="16"/>
              </w:rPr>
              <w:t>7,080,000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3,780,000</w:t>
            </w:r>
          </w:p>
        </w:tc>
        <w:tc>
          <w:tcPr>
            <w:tcW w:type="dxa" w:w="1461"/>
            <w:vAlign w:val="center"/>
          </w:tcPr>
          <w:p>
            <w:r/>
            <w:r>
              <w:rPr>
                <w:b w:val="0"/>
                <w:color w:val="2B2B2B"/>
                <w:sz w:val="16"/>
              </w:rPr>
              <w:t>6,840,000</w:t>
            </w:r>
          </w:p>
        </w:tc>
        <w:tc>
          <w:tcPr>
            <w:tcW w:type="dxa" w:w="1461"/>
            <w:vAlign w:val="center"/>
          </w:tcPr>
          <w:p>
            <w:r/>
            <w:r>
              <w:rPr>
                <w:b w:val="0"/>
                <w:color w:val="2B2B2B"/>
                <w:sz w:val="16"/>
              </w:rPr>
              <w:t>9,440,000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2,100,000</w:t>
            </w:r>
          </w:p>
        </w:tc>
        <w:tc>
          <w:tcPr>
            <w:tcW w:type="dxa" w:w="1461"/>
            <w:vAlign w:val="center"/>
          </w:tcPr>
          <w:p>
            <w:r/>
            <w:r>
              <w:rPr>
                <w:b w:val="0"/>
                <w:color w:val="2B2B2B"/>
                <w:sz w:val="16"/>
              </w:rPr>
              <w:t>3,800,000</w:t>
            </w:r>
          </w:p>
        </w:tc>
        <w:tc>
          <w:tcPr>
            <w:tcW w:type="dxa" w:w="1461"/>
            <w:vAlign w:val="center"/>
          </w:tcPr>
          <w:p>
            <w:r/>
            <w:r>
              <w:rPr>
                <w:b w:val="0"/>
                <w:color w:val="2B2B2B"/>
                <w:sz w:val="16"/>
              </w:rPr>
              <w:t>5,310,000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2,520,000</w:t>
            </w:r>
          </w:p>
        </w:tc>
        <w:tc>
          <w:tcPr>
            <w:tcW w:type="dxa" w:w="1461"/>
            <w:vAlign w:val="center"/>
          </w:tcPr>
          <w:p>
            <w:r/>
            <w:r>
              <w:rPr>
                <w:b w:val="0"/>
                <w:color w:val="2B2B2B"/>
                <w:sz w:val="16"/>
              </w:rPr>
              <w:t>4,560,000</w:t>
            </w:r>
          </w:p>
        </w:tc>
        <w:tc>
          <w:tcPr>
            <w:tcW w:type="dxa" w:w="1461"/>
            <w:vAlign w:val="center"/>
          </w:tcPr>
          <w:p>
            <w:r/>
            <w:r>
              <w:rPr>
                <w:b w:val="0"/>
                <w:color w:val="2B2B2B"/>
                <w:sz w:val="16"/>
              </w:rPr>
              <w:t>7,670,000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2,520,000</w:t>
            </w:r>
          </w:p>
        </w:tc>
        <w:tc>
          <w:tcPr>
            <w:tcW w:type="dxa" w:w="1461"/>
            <w:vAlign w:val="center"/>
          </w:tcPr>
          <w:p>
            <w:r/>
            <w:r>
              <w:rPr>
                <w:b w:val="0"/>
                <w:color w:val="2B2B2B"/>
                <w:sz w:val="16"/>
              </w:rPr>
              <w:t>4,560,000</w:t>
            </w:r>
          </w:p>
        </w:tc>
        <w:tc>
          <w:tcPr>
            <w:tcW w:type="dxa" w:w="1461"/>
            <w:vAlign w:val="center"/>
          </w:tcPr>
          <w:p>
            <w:r/>
            <w:r>
              <w:rPr>
                <w:b w:val="0"/>
                <w:color w:val="2B2B2B"/>
                <w:sz w:val="16"/>
              </w:rPr>
              <w:t>7,670,000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42,000,000</w:t>
            </w:r>
          </w:p>
        </w:tc>
        <w:tc>
          <w:tcPr>
            <w:tcW w:type="dxa" w:w="1461"/>
            <w:vAlign w:val="center"/>
          </w:tcPr>
          <w:p>
            <w:r/>
            <w:r>
              <w:rPr>
                <w:b w:val="0"/>
                <w:color w:val="2B2B2B"/>
                <w:sz w:val="16"/>
              </w:rPr>
              <w:t>76,000,000</w:t>
            </w:r>
          </w:p>
        </w:tc>
        <w:tc>
          <w:tcPr>
            <w:tcW w:type="dxa" w:w="1461"/>
            <w:vAlign w:val="center"/>
          </w:tcPr>
          <w:p>
            <w:r/>
            <w:r>
              <w:rPr>
                <w:b w:val="0"/>
                <w:color w:val="2B2B2B"/>
                <w:sz w:val="16"/>
              </w:rPr>
              <w:t>118,000,000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Qualified admissions enquiry, campus tour, application or course consultation.. Planning value per conversion: MMK 2,200,000; assumed contribution margin: 32%.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108</w:t>
            </w:r>
          </w:p>
        </w:tc>
        <w:tc>
          <w:tcPr>
            <w:tcW w:type="dxa" w:w="2045"/>
            <w:vAlign w:val="center"/>
          </w:tcPr>
          <w:p>
            <w:r/>
            <w:r>
              <w:rPr>
                <w:b w:val="0"/>
                <w:color w:val="2B2B2B"/>
                <w:sz w:val="16"/>
              </w:rPr>
              <w:t>MMK 76,032,000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184</w:t>
            </w:r>
          </w:p>
        </w:tc>
        <w:tc>
          <w:tcPr>
            <w:tcW w:type="dxa" w:w="2045"/>
            <w:vAlign w:val="center"/>
          </w:tcPr>
          <w:p>
            <w:r/>
            <w:r>
              <w:rPr>
                <w:b w:val="0"/>
                <w:color w:val="2B2B2B"/>
                <w:sz w:val="16"/>
              </w:rPr>
              <w:t>MMK 129,536,000</w:t>
            </w:r>
          </w:p>
        </w:tc>
        <w:tc>
          <w:tcPr>
            <w:tcW w:type="dxa" w:w="2045"/>
            <w:vAlign w:val="center"/>
          </w:tcPr>
          <w:p>
            <w:r/>
            <w:r>
              <w:rPr>
                <w:b w:val="0"/>
                <w:color w:val="2B2B2B"/>
                <w:sz w:val="16"/>
              </w:rPr>
              <w:t>70%</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216</w:t>
            </w:r>
          </w:p>
        </w:tc>
        <w:tc>
          <w:tcPr>
            <w:tcW w:type="dxa" w:w="2045"/>
            <w:vAlign w:val="center"/>
          </w:tcPr>
          <w:p>
            <w:r/>
            <w:r>
              <w:rPr>
                <w:b w:val="0"/>
                <w:color w:val="2B2B2B"/>
                <w:sz w:val="16"/>
              </w:rPr>
              <w:t>MMK 152,064,000</w:t>
            </w:r>
          </w:p>
        </w:tc>
        <w:tc>
          <w:tcPr>
            <w:tcW w:type="dxa" w:w="2045"/>
            <w:vAlign w:val="center"/>
          </w:tcPr>
          <w:p>
            <w:r/>
            <w:r>
              <w:rPr>
                <w:b w:val="0"/>
                <w:color w:val="2B2B2B"/>
                <w:sz w:val="16"/>
              </w:rPr>
              <w:t>100%</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108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Private school, university or professional training provider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Safeguarding, consent for minors, claims about outcomes, exam-calendar conflict.</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the 20-minute challenge: real task, visible output. and proof wall: alumni work with context and outcomes.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