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Money in Motion</w:t>
      </w:r>
    </w:p>
    <w:p>
      <w:pPr>
        <w:spacing w:after="100" w:line="252" w:lineRule="auto"/>
      </w:pPr>
      <w:r>
        <w:t>Financial Services · Myanmar commercial context · SME executive forum + CRM lead funnel + relationship-manager enablement</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Myanmar bank or licensed fintech serving SMEs faces a specific commercial tension: SMEs need confidence and liquidity, but financial communications often lead with product features before earning trust. The opportunity is to change one behaviour — sme owners bring one cash-flow friction, receive a diagnostic card, and consent to a follow-up from the right relationship manager. — so that the audience moves from passive interest to a measurable qualified sme consultation, account opening, lending or merchant-service application..</w:t>
      </w:r>
    </w:p>
    <w:p>
      <w:pPr>
        <w:spacing w:after="100" w:line="252" w:lineRule="auto"/>
      </w:pPr>
      <w:r>
        <w:t>The proposed platform is **Money in Motion**. Its promise is: “Turn the next money decision into a clearer business move.” The architecture combines sme executive forum + crm lead funnel + relationship-manager enablement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120,000,000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Qualified SME consultation, account opening, lending or merchant-service application.</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financial services, the commercial opportunity is to reduce one form of hesitation: smes need confidence and liquidity, but financial communications often lead with product features before earning trust..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A business owner will disclose a money problem when the conversation begins with their operating reality, not a sales pitch.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Myanmar bank or licensed fintech serving SMEs the easiest credible next step for the audience’s current need. The single behaviour change is: SME owners bring one cash-flow friction, receive a diagnostic card, and consent to a follow-up from the right relationship manager..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SME founders, finance managers, distributors and family-business successors in Yangon and Mandalay.</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**Money in Motion** turns the category’s abstract promise into a tangible proof moment. Promise: “Turn the next money decision into a clearer business move.”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The Friction Wall: anonymous cash-flow problems clustered live.</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Two-minute business diagnostic with a printed action card.</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Peer-proof stage: moderated customer case, not a product speech.</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RM Match Desk: consent-based next-step scheduling.</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Half-day forum with diagnostic stations, two peer cases and scheduled RM follow-up.; the distribution layer is LinkedIn, Facebook, industry groups, email/Telegram invites, PR, direct sales, retargeting.; the conversion layer is Qualified SME consultation, account opening, lending or merchant-service application..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Yangon executive forum venue, TBC; hotel ballroom quotation required. Production direction: Boardroom aesthetic, 24m x 14m ballroom plan, stage plus three diagnostic islands, acoustic treatment, privacy screens..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money_in_motion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money_in_motion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Moderator, 2 SME case speakers TBC, 1 economist/finance specialist TBC, no entertainment.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5,600,000</w:t>
            </w:r>
          </w:p>
        </w:tc>
        <w:tc>
          <w:tcPr>
            <w:tcW w:type="dxa" w:w="1461"/>
            <w:vAlign w:val="center"/>
          </w:tcPr>
          <w:p>
            <w:r/>
            <w:r>
              <w:rPr>
                <w:b w:val="0"/>
                <w:color w:val="2B2B2B"/>
                <w:sz w:val="16"/>
              </w:rPr>
              <w:t>9,600,000</w:t>
            </w:r>
          </w:p>
        </w:tc>
        <w:tc>
          <w:tcPr>
            <w:tcW w:type="dxa" w:w="1461"/>
            <w:vAlign w:val="center"/>
          </w:tcPr>
          <w:p>
            <w:r/>
            <w:r>
              <w:rPr>
                <w:b w:val="0"/>
                <w:color w:val="2B2B2B"/>
                <w:sz w:val="16"/>
              </w:rPr>
              <w:t>12,950,000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4,900,000</w:t>
            </w:r>
          </w:p>
        </w:tc>
        <w:tc>
          <w:tcPr>
            <w:tcW w:type="dxa" w:w="1461"/>
            <w:vAlign w:val="center"/>
          </w:tcPr>
          <w:p>
            <w:r/>
            <w:r>
              <w:rPr>
                <w:b w:val="0"/>
                <w:color w:val="2B2B2B"/>
                <w:sz w:val="16"/>
              </w:rPr>
              <w:t>8,400,000</w:t>
            </w:r>
          </w:p>
        </w:tc>
        <w:tc>
          <w:tcPr>
            <w:tcW w:type="dxa" w:w="1461"/>
            <w:vAlign w:val="center"/>
          </w:tcPr>
          <w:p>
            <w:r/>
            <w:r>
              <w:rPr>
                <w:b w:val="0"/>
                <w:color w:val="2B2B2B"/>
                <w:sz w:val="16"/>
              </w:rPr>
              <w:t>12,025,000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4,200,000</w:t>
            </w:r>
          </w:p>
        </w:tc>
        <w:tc>
          <w:tcPr>
            <w:tcW w:type="dxa" w:w="1461"/>
            <w:vAlign w:val="center"/>
          </w:tcPr>
          <w:p>
            <w:r/>
            <w:r>
              <w:rPr>
                <w:b w:val="0"/>
                <w:color w:val="2B2B2B"/>
                <w:sz w:val="16"/>
              </w:rPr>
              <w:t>7,200,000</w:t>
            </w:r>
          </w:p>
        </w:tc>
        <w:tc>
          <w:tcPr>
            <w:tcW w:type="dxa" w:w="1461"/>
            <w:vAlign w:val="center"/>
          </w:tcPr>
          <w:p>
            <w:r/>
            <w:r>
              <w:rPr>
                <w:b w:val="0"/>
                <w:color w:val="2B2B2B"/>
                <w:sz w:val="16"/>
              </w:rPr>
              <w:t>11,100,000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3,500,000</w:t>
            </w:r>
          </w:p>
        </w:tc>
        <w:tc>
          <w:tcPr>
            <w:tcW w:type="dxa" w:w="1461"/>
            <w:vAlign w:val="center"/>
          </w:tcPr>
          <w:p>
            <w:r/>
            <w:r>
              <w:rPr>
                <w:b w:val="0"/>
                <w:color w:val="2B2B2B"/>
                <w:sz w:val="16"/>
              </w:rPr>
              <w:t>6,000,000</w:t>
            </w:r>
          </w:p>
        </w:tc>
        <w:tc>
          <w:tcPr>
            <w:tcW w:type="dxa" w:w="1461"/>
            <w:vAlign w:val="center"/>
          </w:tcPr>
          <w:p>
            <w:r/>
            <w:r>
              <w:rPr>
                <w:b w:val="0"/>
                <w:color w:val="2B2B2B"/>
                <w:sz w:val="16"/>
              </w:rPr>
              <w:t>10,175,000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5,600,000</w:t>
            </w:r>
          </w:p>
        </w:tc>
        <w:tc>
          <w:tcPr>
            <w:tcW w:type="dxa" w:w="1461"/>
            <w:vAlign w:val="center"/>
          </w:tcPr>
          <w:p>
            <w:r/>
            <w:r>
              <w:rPr>
                <w:b w:val="0"/>
                <w:color w:val="2B2B2B"/>
                <w:sz w:val="16"/>
              </w:rPr>
              <w:t>9,600,000</w:t>
            </w:r>
          </w:p>
        </w:tc>
        <w:tc>
          <w:tcPr>
            <w:tcW w:type="dxa" w:w="1461"/>
            <w:vAlign w:val="center"/>
          </w:tcPr>
          <w:p>
            <w:r/>
            <w:r>
              <w:rPr>
                <w:b w:val="0"/>
                <w:color w:val="2B2B2B"/>
                <w:sz w:val="16"/>
              </w:rPr>
              <w:t>13,875,000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8,400,000</w:t>
            </w:r>
          </w:p>
        </w:tc>
        <w:tc>
          <w:tcPr>
            <w:tcW w:type="dxa" w:w="1461"/>
            <w:vAlign w:val="center"/>
          </w:tcPr>
          <w:p>
            <w:r/>
            <w:r>
              <w:rPr>
                <w:b w:val="0"/>
                <w:color w:val="2B2B2B"/>
                <w:sz w:val="16"/>
              </w:rPr>
              <w:t>14,400,000</w:t>
            </w:r>
          </w:p>
        </w:tc>
        <w:tc>
          <w:tcPr>
            <w:tcW w:type="dxa" w:w="1461"/>
            <w:vAlign w:val="center"/>
          </w:tcPr>
          <w:p>
            <w:r/>
            <w:r>
              <w:rPr>
                <w:b w:val="0"/>
                <w:color w:val="2B2B2B"/>
                <w:sz w:val="16"/>
              </w:rPr>
              <w:t>24,050,000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5,600,000</w:t>
            </w:r>
          </w:p>
        </w:tc>
        <w:tc>
          <w:tcPr>
            <w:tcW w:type="dxa" w:w="1461"/>
            <w:vAlign w:val="center"/>
          </w:tcPr>
          <w:p>
            <w:r/>
            <w:r>
              <w:rPr>
                <w:b w:val="0"/>
                <w:color w:val="2B2B2B"/>
                <w:sz w:val="16"/>
              </w:rPr>
              <w:t>10,800,000</w:t>
            </w:r>
          </w:p>
        </w:tc>
        <w:tc>
          <w:tcPr>
            <w:tcW w:type="dxa" w:w="1461"/>
            <w:vAlign w:val="center"/>
          </w:tcPr>
          <w:p>
            <w:r/>
            <w:r>
              <w:rPr>
                <w:b w:val="0"/>
                <w:color w:val="2B2B2B"/>
                <w:sz w:val="16"/>
              </w:rPr>
              <w:t>18,500,000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3,500,000</w:t>
            </w:r>
          </w:p>
        </w:tc>
        <w:tc>
          <w:tcPr>
            <w:tcW w:type="dxa" w:w="1461"/>
            <w:vAlign w:val="center"/>
          </w:tcPr>
          <w:p>
            <w:r/>
            <w:r>
              <w:rPr>
                <w:b w:val="0"/>
                <w:color w:val="2B2B2B"/>
                <w:sz w:val="16"/>
              </w:rPr>
              <w:t>6,000,000</w:t>
            </w:r>
          </w:p>
        </w:tc>
        <w:tc>
          <w:tcPr>
            <w:tcW w:type="dxa" w:w="1461"/>
            <w:vAlign w:val="center"/>
          </w:tcPr>
          <w:p>
            <w:r/>
            <w:r>
              <w:rPr>
                <w:b w:val="0"/>
                <w:color w:val="2B2B2B"/>
                <w:sz w:val="16"/>
              </w:rPr>
              <w:t>10,175,000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4,900,000</w:t>
            </w:r>
          </w:p>
        </w:tc>
        <w:tc>
          <w:tcPr>
            <w:tcW w:type="dxa" w:w="1461"/>
            <w:vAlign w:val="center"/>
          </w:tcPr>
          <w:p>
            <w:r/>
            <w:r>
              <w:rPr>
                <w:b w:val="0"/>
                <w:color w:val="2B2B2B"/>
                <w:sz w:val="16"/>
              </w:rPr>
              <w:t>10,800,000</w:t>
            </w:r>
          </w:p>
        </w:tc>
        <w:tc>
          <w:tcPr>
            <w:tcW w:type="dxa" w:w="1461"/>
            <w:vAlign w:val="center"/>
          </w:tcPr>
          <w:p>
            <w:r/>
            <w:r>
              <w:rPr>
                <w:b w:val="0"/>
                <w:color w:val="2B2B2B"/>
                <w:sz w:val="16"/>
              </w:rPr>
              <w:t>18,500,000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4,200,000</w:t>
            </w:r>
          </w:p>
        </w:tc>
        <w:tc>
          <w:tcPr>
            <w:tcW w:type="dxa" w:w="1461"/>
            <w:vAlign w:val="center"/>
          </w:tcPr>
          <w:p>
            <w:r/>
            <w:r>
              <w:rPr>
                <w:b w:val="0"/>
                <w:color w:val="2B2B2B"/>
                <w:sz w:val="16"/>
              </w:rPr>
              <w:t>8,400,000</w:t>
            </w:r>
          </w:p>
        </w:tc>
        <w:tc>
          <w:tcPr>
            <w:tcW w:type="dxa" w:w="1461"/>
            <w:vAlign w:val="center"/>
          </w:tcPr>
          <w:p>
            <w:r/>
            <w:r>
              <w:rPr>
                <w:b w:val="0"/>
                <w:color w:val="2B2B2B"/>
                <w:sz w:val="16"/>
              </w:rPr>
              <w:t>13,875,000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3,500,000</w:t>
            </w:r>
          </w:p>
        </w:tc>
        <w:tc>
          <w:tcPr>
            <w:tcW w:type="dxa" w:w="1461"/>
            <w:vAlign w:val="center"/>
          </w:tcPr>
          <w:p>
            <w:r/>
            <w:r>
              <w:rPr>
                <w:b w:val="0"/>
                <w:color w:val="2B2B2B"/>
                <w:sz w:val="16"/>
              </w:rPr>
              <w:t>6,000,000</w:t>
            </w:r>
          </w:p>
        </w:tc>
        <w:tc>
          <w:tcPr>
            <w:tcW w:type="dxa" w:w="1461"/>
            <w:vAlign w:val="center"/>
          </w:tcPr>
          <w:p>
            <w:r/>
            <w:r>
              <w:rPr>
                <w:b w:val="0"/>
                <w:color w:val="2B2B2B"/>
                <w:sz w:val="16"/>
              </w:rPr>
              <w:t>11,100,000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6,300,000</w:t>
            </w:r>
          </w:p>
        </w:tc>
        <w:tc>
          <w:tcPr>
            <w:tcW w:type="dxa" w:w="1461"/>
            <w:vAlign w:val="center"/>
          </w:tcPr>
          <w:p>
            <w:r/>
            <w:r>
              <w:rPr>
                <w:b w:val="0"/>
                <w:color w:val="2B2B2B"/>
                <w:sz w:val="16"/>
              </w:rPr>
              <w:t>10,800,000</w:t>
            </w:r>
          </w:p>
        </w:tc>
        <w:tc>
          <w:tcPr>
            <w:tcW w:type="dxa" w:w="1461"/>
            <w:vAlign w:val="center"/>
          </w:tcPr>
          <w:p>
            <w:r/>
            <w:r>
              <w:rPr>
                <w:b w:val="0"/>
                <w:color w:val="2B2B2B"/>
                <w:sz w:val="16"/>
              </w:rPr>
              <w:t>14,800,000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3,500,000</w:t>
            </w:r>
          </w:p>
        </w:tc>
        <w:tc>
          <w:tcPr>
            <w:tcW w:type="dxa" w:w="1461"/>
            <w:vAlign w:val="center"/>
          </w:tcPr>
          <w:p>
            <w:r/>
            <w:r>
              <w:rPr>
                <w:b w:val="0"/>
                <w:color w:val="2B2B2B"/>
                <w:sz w:val="16"/>
              </w:rPr>
              <w:t>6,000,000</w:t>
            </w:r>
          </w:p>
        </w:tc>
        <w:tc>
          <w:tcPr>
            <w:tcW w:type="dxa" w:w="1461"/>
            <w:vAlign w:val="center"/>
          </w:tcPr>
          <w:p>
            <w:r/>
            <w:r>
              <w:rPr>
                <w:b w:val="0"/>
                <w:color w:val="2B2B2B"/>
                <w:sz w:val="16"/>
              </w:rPr>
              <w:t>8,325,000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4,200,000</w:t>
            </w:r>
          </w:p>
        </w:tc>
        <w:tc>
          <w:tcPr>
            <w:tcW w:type="dxa" w:w="1461"/>
            <w:vAlign w:val="center"/>
          </w:tcPr>
          <w:p>
            <w:r/>
            <w:r>
              <w:rPr>
                <w:b w:val="0"/>
                <w:color w:val="2B2B2B"/>
                <w:sz w:val="16"/>
              </w:rPr>
              <w:t>7,200,000</w:t>
            </w:r>
          </w:p>
        </w:tc>
        <w:tc>
          <w:tcPr>
            <w:tcW w:type="dxa" w:w="1461"/>
            <w:vAlign w:val="center"/>
          </w:tcPr>
          <w:p>
            <w:r/>
            <w:r>
              <w:rPr>
                <w:b w:val="0"/>
                <w:color w:val="2B2B2B"/>
                <w:sz w:val="16"/>
              </w:rPr>
              <w:t>12,025,000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4,200,000</w:t>
            </w:r>
          </w:p>
        </w:tc>
        <w:tc>
          <w:tcPr>
            <w:tcW w:type="dxa" w:w="1461"/>
            <w:vAlign w:val="center"/>
          </w:tcPr>
          <w:p>
            <w:r/>
            <w:r>
              <w:rPr>
                <w:b w:val="0"/>
                <w:color w:val="2B2B2B"/>
                <w:sz w:val="16"/>
              </w:rPr>
              <w:t>7,200,000</w:t>
            </w:r>
          </w:p>
        </w:tc>
        <w:tc>
          <w:tcPr>
            <w:tcW w:type="dxa" w:w="1461"/>
            <w:vAlign w:val="center"/>
          </w:tcPr>
          <w:p>
            <w:r/>
            <w:r>
              <w:rPr>
                <w:b w:val="0"/>
                <w:color w:val="2B2B2B"/>
                <w:sz w:val="16"/>
              </w:rPr>
              <w:t>12,025,000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70,000,000</w:t>
            </w:r>
          </w:p>
        </w:tc>
        <w:tc>
          <w:tcPr>
            <w:tcW w:type="dxa" w:w="1461"/>
            <w:vAlign w:val="center"/>
          </w:tcPr>
          <w:p>
            <w:r/>
            <w:r>
              <w:rPr>
                <w:b w:val="0"/>
                <w:color w:val="2B2B2B"/>
                <w:sz w:val="16"/>
              </w:rPr>
              <w:t>120,000,000</w:t>
            </w:r>
          </w:p>
        </w:tc>
        <w:tc>
          <w:tcPr>
            <w:tcW w:type="dxa" w:w="1461"/>
            <w:vAlign w:val="center"/>
          </w:tcPr>
          <w:p>
            <w:r/>
            <w:r>
              <w:rPr>
                <w:b w:val="0"/>
                <w:color w:val="2B2B2B"/>
                <w:sz w:val="16"/>
              </w:rPr>
              <w:t>185,000,000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Qualified SME consultation, account opening, lending or merchant-service application.. Planning value per conversion: MMK 2,500,000; assumed contribution margin: 28%.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172</w:t>
            </w:r>
          </w:p>
        </w:tc>
        <w:tc>
          <w:tcPr>
            <w:tcW w:type="dxa" w:w="2045"/>
            <w:vAlign w:val="center"/>
          </w:tcPr>
          <w:p>
            <w:r/>
            <w:r>
              <w:rPr>
                <w:b w:val="0"/>
                <w:color w:val="2B2B2B"/>
                <w:sz w:val="16"/>
              </w:rPr>
              <w:t>MMK 120,400,000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292</w:t>
            </w:r>
          </w:p>
        </w:tc>
        <w:tc>
          <w:tcPr>
            <w:tcW w:type="dxa" w:w="2045"/>
            <w:vAlign w:val="center"/>
          </w:tcPr>
          <w:p>
            <w:r/>
            <w:r>
              <w:rPr>
                <w:b w:val="0"/>
                <w:color w:val="2B2B2B"/>
                <w:sz w:val="16"/>
              </w:rPr>
              <w:t>MMK 204,400,000</w:t>
            </w:r>
          </w:p>
        </w:tc>
        <w:tc>
          <w:tcPr>
            <w:tcW w:type="dxa" w:w="2045"/>
            <w:vAlign w:val="center"/>
          </w:tcPr>
          <w:p>
            <w:r/>
            <w:r>
              <w:rPr>
                <w:b w:val="0"/>
                <w:color w:val="2B2B2B"/>
                <w:sz w:val="16"/>
              </w:rPr>
              <w:t>70%</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344</w:t>
            </w:r>
          </w:p>
        </w:tc>
        <w:tc>
          <w:tcPr>
            <w:tcW w:type="dxa" w:w="2045"/>
            <w:vAlign w:val="center"/>
          </w:tcPr>
          <w:p>
            <w:r/>
            <w:r>
              <w:rPr>
                <w:b w:val="0"/>
                <w:color w:val="2B2B2B"/>
                <w:sz w:val="16"/>
              </w:rPr>
              <w:t>MMK 240,800,000</w:t>
            </w:r>
          </w:p>
        </w:tc>
        <w:tc>
          <w:tcPr>
            <w:tcW w:type="dxa" w:w="2045"/>
            <w:vAlign w:val="center"/>
          </w:tcPr>
          <w:p>
            <w:r/>
            <w:r>
              <w:rPr>
                <w:b w:val="0"/>
                <w:color w:val="2B2B2B"/>
                <w:sz w:val="16"/>
              </w:rPr>
              <w:t>101%</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172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Myanmar bank or licensed fintech serving SMEs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Financial-promotion compliance, inaccurate claims, lead privacy, speaker conflicts.</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the friction wall: anonymous cash-flow problems clustered live. and two-minute business diagnostic with a printed action card.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[6] Yoma Bank — Currency Exchange Rates — https://www.yomabank.com/en/rates/ (published/accessed 2026-08-18). Supports: Dated indicative USD/MMK assumption: MMK 3,658 trade-related average selling price; rates are not binding.</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