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B88A2A"/>
          <w:sz w:val="56"/>
        </w:rPr>
        <w:t>ZYNTH</w:t>
      </w:r>
    </w:p>
    <w:p>
      <w:pPr>
        <w:jc w:val="center"/>
      </w:pPr>
      <w:r>
        <w:rPr>
          <w:b/>
          <w:color w:val="12203A"/>
          <w:sz w:val="48"/>
        </w:rPr>
        <w:t>Care Closer</w:t>
      </w:r>
    </w:p>
    <w:p>
      <w:pPr>
        <w:spacing w:after="100" w:line="252" w:lineRule="auto"/>
      </w:pPr>
      <w:r>
        <w:t>Healthcare · Myanmar commercial context · Community screening programme + referral pathway + clinician content series</w:t>
      </w:r>
    </w:p>
    <w:p>
      <w:pPr>
        <w:spacing w:after="100" w:line="252" w:lineRule="auto"/>
      </w:pPr>
      <w:r>
        <w:t>Prepared 2026-08-20 · Validity window: 14 days for planning assumptions · Confidential — prepared for client discussion only.</w:t>
      </w:r>
    </w:p>
    <w:p>
      <w:pPr>
        <w:spacing w:after="100" w:line="252" w:lineRule="auto"/>
      </w:pPr>
      <w:r>
        <w:t>Concept proposal — subject to client, legal, platform, venue, supplier, talent and regulatory validation. Prices and ROI are indicative until validated through current local quotations and client data.</w:t>
      </w:r>
    </w:p>
    <w:p>
      <w:r>
        <w:br w:type="page"/>
      </w:r>
    </w:p>
    <w:p>
      <w:pPr>
        <w:spacing w:before="200" w:after="80"/>
      </w:pPr>
      <w:r>
        <w:rPr>
          <w:b/>
          <w:color w:val="12203A"/>
          <w:sz w:val="30"/>
        </w:rPr>
        <w:t>1. Executive summary</w:t>
      </w:r>
    </w:p>
    <w:p>
      <w:pPr>
        <w:spacing w:after="100" w:line="252" w:lineRule="auto"/>
      </w:pPr>
      <w:r>
        <w:t>Private hospital, clinic network or diagnostic provider faces a specific commercial tension: Healthcare demand exists, but fear, cost uncertainty and information friction delay action until symptoms become urgent. The opportunity is to change one behaviour — residents complete a simple health-navigation check, receive a plain-language next step, and can book a qualified referral without pressure. — so that the audience moves from passive interest to a measurable qualified consultation or screening booking; secondary referral and follow-up attendance..</w:t>
      </w:r>
    </w:p>
    <w:p>
      <w:pPr>
        <w:spacing w:after="100" w:line="252" w:lineRule="auto"/>
      </w:pPr>
      <w:r>
        <w:t>The proposed platform is **Care Closer**. Its promise is: “The next right care step is closer than you think.” The architecture combines community screening programme + referral pathway + clinician content series because the event or experience creates proof, the content system scales that proof, and CRM/sales follow-up converts the moment while intent is still warm.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Decision</w:t>
            </w:r>
          </w:p>
        </w:tc>
        <w:tc>
          <w:tcPr>
            <w:tcW w:type="dxa" w:w="3408"/>
            <w:vAlign w:val="center"/>
            <w:shd w:fill="12203A"/>
          </w:tcPr>
          <w:p>
            <w:r/>
            <w:r>
              <w:rPr>
                <w:b/>
                <w:color w:val="FFFFFF"/>
                <w:sz w:val="16"/>
              </w:rPr>
              <w:t>Recommendation</w:t>
            </w:r>
          </w:p>
        </w:tc>
        <w:tc>
          <w:tcPr>
            <w:tcW w:type="dxa" w:w="3408"/>
            <w:vAlign w:val="center"/>
            <w:shd w:fill="12203A"/>
          </w:tcPr>
          <w:p>
            <w:r/>
            <w:r>
              <w:rPr>
                <w:b/>
                <w:color w:val="FFFFFF"/>
                <w:sz w:val="16"/>
              </w:rPr>
              <w:t>Commercial logic</w:t>
            </w:r>
          </w:p>
        </w:tc>
      </w:tr>
      <w:tr>
        <w:tc>
          <w:tcPr>
            <w:tcW w:type="dxa" w:w="3408"/>
            <w:vAlign w:val="center"/>
          </w:tcPr>
          <w:p>
            <w:r/>
            <w:r>
              <w:rPr>
                <w:b w:val="0"/>
                <w:color w:val="2B2B2B"/>
                <w:sz w:val="16"/>
              </w:rPr>
              <w:t>Recommended package</w:t>
            </w:r>
          </w:p>
        </w:tc>
        <w:tc>
          <w:tcPr>
            <w:tcW w:type="dxa" w:w="3408"/>
            <w:vAlign w:val="center"/>
          </w:tcPr>
          <w:p>
            <w:r/>
            <w:r>
              <w:rPr>
                <w:b w:val="0"/>
                <w:color w:val="2B2B2B"/>
                <w:sz w:val="16"/>
              </w:rPr>
              <w:t>Recommended · MMK 82,000,000 indicative</w:t>
            </w:r>
          </w:p>
        </w:tc>
        <w:tc>
          <w:tcPr>
            <w:tcW w:type="dxa" w:w="3408"/>
            <w:vAlign w:val="center"/>
          </w:tcPr>
          <w:p>
            <w:r/>
            <w:r>
              <w:rPr>
                <w:b w:val="0"/>
                <w:color w:val="2B2B2B"/>
                <w:sz w:val="16"/>
              </w:rPr>
              <w:t>Balances proof, reach, production control and measurable follow-up.</w:t>
            </w:r>
          </w:p>
        </w:tc>
      </w:tr>
      <w:tr>
        <w:tc>
          <w:tcPr>
            <w:tcW w:type="dxa" w:w="3408"/>
            <w:vAlign w:val="center"/>
          </w:tcPr>
          <w:p>
            <w:r/>
            <w:r>
              <w:rPr>
                <w:b w:val="0"/>
                <w:color w:val="2B2B2B"/>
                <w:sz w:val="16"/>
              </w:rPr>
              <w:t>Primary conversion</w:t>
            </w:r>
          </w:p>
        </w:tc>
        <w:tc>
          <w:tcPr>
            <w:tcW w:type="dxa" w:w="3408"/>
            <w:vAlign w:val="center"/>
          </w:tcPr>
          <w:p>
            <w:r/>
            <w:r>
              <w:rPr>
                <w:b w:val="0"/>
                <w:color w:val="2B2B2B"/>
                <w:sz w:val="16"/>
              </w:rPr>
              <w:t>Qualified consultation or screening booking; secondary referral and follow-up attendance.</w:t>
            </w:r>
          </w:p>
        </w:tc>
        <w:tc>
          <w:tcPr>
            <w:tcW w:type="dxa" w:w="3408"/>
            <w:vAlign w:val="center"/>
          </w:tcPr>
          <w:p>
            <w:r/>
            <w:r>
              <w:rPr>
                <w:b w:val="0"/>
                <w:color w:val="2B2B2B"/>
                <w:sz w:val="16"/>
              </w:rPr>
              <w:t>One conversion definition keeps reporting accountable.</w:t>
            </w:r>
          </w:p>
        </w:tc>
      </w:tr>
      <w:tr>
        <w:tc>
          <w:tcPr>
            <w:tcW w:type="dxa" w:w="3408"/>
            <w:vAlign w:val="center"/>
          </w:tcPr>
          <w:p>
            <w:r/>
            <w:r>
              <w:rPr>
                <w:b w:val="0"/>
                <w:color w:val="2B2B2B"/>
                <w:sz w:val="16"/>
              </w:rPr>
              <w:t>Approval ask</w:t>
            </w:r>
          </w:p>
        </w:tc>
        <w:tc>
          <w:tcPr>
            <w:tcW w:type="dxa" w:w="3408"/>
            <w:vAlign w:val="center"/>
          </w:tcPr>
          <w:p>
            <w:r/>
            <w:r>
              <w:rPr>
                <w:b w:val="0"/>
                <w:color w:val="2B2B2B"/>
                <w:sz w:val="16"/>
              </w:rPr>
              <w:t>Approve concept, working budget and discovery access within 5 business days.</w:t>
            </w:r>
          </w:p>
        </w:tc>
        <w:tc>
          <w:tcPr>
            <w:tcW w:type="dxa" w:w="3408"/>
            <w:vAlign w:val="center"/>
          </w:tcPr>
          <w:p>
            <w:r/>
            <w:r>
              <w:rPr>
                <w:b w:val="0"/>
                <w:color w:val="2B2B2B"/>
                <w:sz w:val="16"/>
              </w:rPr>
              <w:t>Enables venue/vendor RFQ and first creative gate.</w:t>
            </w:r>
          </w:p>
        </w:tc>
      </w:tr>
    </w:tbl>
    <w:p>
      <w:pPr>
        <w:spacing w:after="40"/>
      </w:pPr>
    </w:p>
    <w:p>
      <w:pPr>
        <w:spacing w:before="200" w:after="80"/>
      </w:pPr>
      <w:r>
        <w:rPr>
          <w:b/>
          <w:color w:val="12203A"/>
          <w:sz w:val="30"/>
        </w:rPr>
        <w:t>2. Business context and opportunity</w:t>
      </w:r>
    </w:p>
    <w:p>
      <w:pPr>
        <w:spacing w:after="100" w:line="252" w:lineRule="auto"/>
      </w:pPr>
      <w:r>
        <w:t>Myanmar’s current operating context is not a reason to become generic. The World Bank reports tentative stabilisation alongside weak demand, fuel/logistics pressure and a 24.6% year-on-year inflation reading in April 2026 [1]. That makes relevance, proof and operational discipline more valuable than spectacle alone.</w:t>
      </w:r>
    </w:p>
    <w:p>
      <w:pPr>
        <w:spacing w:after="100" w:line="252" w:lineRule="auto"/>
      </w:pPr>
      <w:r>
        <w:t>For healthcare, the commercial opportunity is to reduce one form of hesitation: healthcare demand exists, but fear, cost uncertainty and information friction delay action until symptoms become urgent.. The proposal therefore treats the audience journey as a connected system rather than an isolated event.</w:t>
      </w:r>
    </w:p>
    <w:p>
      <w:pPr>
        <w:spacing w:before="200" w:after="80"/>
      </w:pPr>
      <w:r>
        <w:rPr>
          <w:b/>
          <w:color w:val="12203A"/>
          <w:sz w:val="30"/>
        </w:rPr>
        <w:t>3. Myanmar industry and audience insight</w:t>
      </w:r>
    </w:p>
    <w:p>
      <w:pPr>
        <w:spacing w:after="100" w:line="252" w:lineRule="auto"/>
      </w:pPr>
      <w:r>
        <w:t>Digital planning should be mobile-first but not digital-only. DataReportal’s Digital 2026 Myanmar page reports 39.8 million internet users at the end of 2025, 62.5 million cellular connections and 21.0 million social-media user identities [2]. These are planning indicators, not deduplicated reach guarantees. The media plan therefore uses platform-native short video and CRM/relationship follow-up, with offline proof where the category requires trust.</w:t>
      </w:r>
    </w:p>
    <w:p>
      <w:pPr>
        <w:spacing w:after="100" w:line="252" w:lineRule="auto"/>
      </w:pPr>
      <w:r>
        <w:t>Audience insight: People act sooner when the first step feels understandable, respectful and close to home. The cultural/context implication is to use Burmese-first transcreation where the audience is mass-market, preserve respectful representation, and avoid claims that cannot be substantiated locally. Exclusions include minors or vulnerable audiences where consent, safeguarding or category rules are not cleared.</w:t>
      </w:r>
    </w:p>
    <w:p>
      <w:pPr>
        <w:spacing w:before="200" w:after="80"/>
      </w:pPr>
      <w:r>
        <w:rPr>
          <w:b/>
          <w:color w:val="12203A"/>
          <w:sz w:val="30"/>
        </w:rPr>
        <w:t>4. Strategic objective and measurable goals</w:t>
      </w:r>
    </w:p>
    <w:p>
      <w:pPr>
        <w:spacing w:after="100" w:line="252" w:lineRule="auto"/>
      </w:pPr>
      <w:r>
        <w:t>The strategic objective is to make Private hospital, clinic network or diagnostic provider the easiest credible next step for the audience’s current need. The single behaviour change is: Residents complete a simple health-navigation check, receive a plain-language next step, and can book a qualified referral without pressure..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Goal</w:t>
            </w:r>
          </w:p>
        </w:tc>
        <w:tc>
          <w:tcPr>
            <w:tcW w:type="dxa" w:w="3408"/>
            <w:vAlign w:val="center"/>
            <w:shd w:fill="12203A"/>
          </w:tcPr>
          <w:p>
            <w:r/>
            <w:r>
              <w:rPr>
                <w:b/>
                <w:color w:val="FFFFFF"/>
                <w:sz w:val="16"/>
              </w:rPr>
              <w:t>90-day target</w:t>
            </w:r>
          </w:p>
        </w:tc>
        <w:tc>
          <w:tcPr>
            <w:tcW w:type="dxa" w:w="3408"/>
            <w:vAlign w:val="center"/>
            <w:shd w:fill="12203A"/>
          </w:tcPr>
          <w:p>
            <w:r/>
            <w:r>
              <w:rPr>
                <w:b/>
                <w:color w:val="FFFFFF"/>
                <w:sz w:val="16"/>
              </w:rPr>
              <w:t>Measurement</w:t>
            </w:r>
          </w:p>
        </w:tc>
      </w:tr>
      <w:tr>
        <w:tc>
          <w:tcPr>
            <w:tcW w:type="dxa" w:w="3408"/>
            <w:vAlign w:val="center"/>
          </w:tcPr>
          <w:p>
            <w:r/>
            <w:r>
              <w:rPr>
                <w:b w:val="0"/>
                <w:color w:val="2B2B2B"/>
                <w:sz w:val="16"/>
              </w:rPr>
              <w:t>Attention</w:t>
            </w:r>
          </w:p>
        </w:tc>
        <w:tc>
          <w:tcPr>
            <w:tcW w:type="dxa" w:w="3408"/>
            <w:vAlign w:val="center"/>
          </w:tcPr>
          <w:p>
            <w:r/>
            <w:r>
              <w:rPr>
                <w:b w:val="0"/>
                <w:color w:val="2B2B2B"/>
                <w:sz w:val="16"/>
              </w:rPr>
              <w:t>Reach 150,000–600,000 qualified impressions depending on package</w:t>
            </w:r>
          </w:p>
        </w:tc>
        <w:tc>
          <w:tcPr>
            <w:tcW w:type="dxa" w:w="3408"/>
            <w:vAlign w:val="center"/>
          </w:tcPr>
          <w:p>
            <w:r/>
            <w:r>
              <w:rPr>
                <w:b w:val="0"/>
                <w:color w:val="2B2B2B"/>
                <w:sz w:val="16"/>
              </w:rPr>
              <w:t>Platform delivery + deduplicated reporting where available</w:t>
            </w:r>
          </w:p>
        </w:tc>
      </w:tr>
      <w:tr>
        <w:tc>
          <w:tcPr>
            <w:tcW w:type="dxa" w:w="3408"/>
            <w:vAlign w:val="center"/>
          </w:tcPr>
          <w:p>
            <w:r/>
            <w:r>
              <w:rPr>
                <w:b w:val="0"/>
                <w:color w:val="2B2B2B"/>
                <w:sz w:val="16"/>
              </w:rPr>
              <w:t>Engagement</w:t>
            </w:r>
          </w:p>
        </w:tc>
        <w:tc>
          <w:tcPr>
            <w:tcW w:type="dxa" w:w="3408"/>
            <w:vAlign w:val="center"/>
          </w:tcPr>
          <w:p>
            <w:r/>
            <w:r>
              <w:rPr>
                <w:b w:val="0"/>
                <w:color w:val="2B2B2B"/>
                <w:sz w:val="16"/>
              </w:rPr>
              <w:t>3–8% meaningful interaction or content completion benchmark</w:t>
            </w:r>
          </w:p>
        </w:tc>
        <w:tc>
          <w:tcPr>
            <w:tcW w:type="dxa" w:w="3408"/>
            <w:vAlign w:val="center"/>
          </w:tcPr>
          <w:p>
            <w:r/>
            <w:r>
              <w:rPr>
                <w:b w:val="0"/>
                <w:color w:val="2B2B2B"/>
                <w:sz w:val="16"/>
              </w:rPr>
              <w:t>Saves, replies, watch-through, diagnostic starts</w:t>
            </w:r>
          </w:p>
        </w:tc>
      </w:tr>
      <w:tr>
        <w:tc>
          <w:tcPr>
            <w:tcW w:type="dxa" w:w="3408"/>
            <w:vAlign w:val="center"/>
          </w:tcPr>
          <w:p>
            <w:r/>
            <w:r>
              <w:rPr>
                <w:b w:val="0"/>
                <w:color w:val="2B2B2B"/>
                <w:sz w:val="16"/>
              </w:rPr>
              <w:t>Commercial</w:t>
            </w:r>
          </w:p>
        </w:tc>
        <w:tc>
          <w:tcPr>
            <w:tcW w:type="dxa" w:w="3408"/>
            <w:vAlign w:val="center"/>
          </w:tcPr>
          <w:p>
            <w:r/>
            <w:r>
              <w:rPr>
                <w:b w:val="0"/>
                <w:color w:val="2B2B2B"/>
                <w:sz w:val="16"/>
              </w:rPr>
              <w:t>Qualified conversion volume sufficient to replace client baseline</w:t>
            </w:r>
          </w:p>
        </w:tc>
        <w:tc>
          <w:tcPr>
            <w:tcW w:type="dxa" w:w="3408"/>
            <w:vAlign w:val="center"/>
          </w:tcPr>
          <w:p>
            <w:r/>
            <w:r>
              <w:rPr>
                <w:b w:val="0"/>
                <w:color w:val="2B2B2B"/>
                <w:sz w:val="16"/>
              </w:rPr>
              <w:t>CRM status, consented source code, sales disposition</w:t>
            </w:r>
          </w:p>
        </w:tc>
      </w:tr>
      <w:tr>
        <w:tc>
          <w:tcPr>
            <w:tcW w:type="dxa" w:w="3408"/>
            <w:vAlign w:val="center"/>
          </w:tcPr>
          <w:p>
            <w:r/>
            <w:r>
              <w:rPr>
                <w:b w:val="0"/>
                <w:color w:val="2B2B2B"/>
                <w:sz w:val="16"/>
              </w:rPr>
              <w:t>Experience quality</w:t>
            </w:r>
          </w:p>
        </w:tc>
        <w:tc>
          <w:tcPr>
            <w:tcW w:type="dxa" w:w="3408"/>
            <w:vAlign w:val="center"/>
          </w:tcPr>
          <w:p>
            <w:r/>
            <w:r>
              <w:rPr>
                <w:b w:val="0"/>
                <w:color w:val="2B2B2B"/>
                <w:sz w:val="16"/>
              </w:rPr>
              <w:t>≥90% of booked/attended journey steps completed</w:t>
            </w:r>
          </w:p>
        </w:tc>
        <w:tc>
          <w:tcPr>
            <w:tcW w:type="dxa" w:w="3408"/>
            <w:vAlign w:val="center"/>
          </w:tcPr>
          <w:p>
            <w:r/>
            <w:r>
              <w:rPr>
                <w:b w:val="0"/>
                <w:color w:val="2B2B2B"/>
                <w:sz w:val="16"/>
              </w:rPr>
              <w:t>Registration, queue, handoff and incident log</w:t>
            </w:r>
          </w:p>
        </w:tc>
      </w:tr>
    </w:tbl>
    <w:p>
      <w:pPr>
        <w:spacing w:after="40"/>
      </w:pPr>
    </w:p>
    <w:p>
      <w:pPr>
        <w:spacing w:before="200" w:after="80"/>
      </w:pPr>
      <w:r>
        <w:rPr>
          <w:b/>
          <w:color w:val="12203A"/>
          <w:sz w:val="30"/>
        </w:rPr>
        <w:t>5. Target audience, triggers, context and exclusions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2203A"/>
          </w:tcPr>
          <w:p>
            <w:r/>
            <w:r>
              <w:rPr>
                <w:b/>
                <w:color w:val="FFFFFF"/>
                <w:sz w:val="16"/>
              </w:rPr>
              <w:t>Segment</w:t>
            </w:r>
          </w:p>
        </w:tc>
        <w:tc>
          <w:tcPr>
            <w:tcW w:type="dxa" w:w="2556"/>
            <w:vAlign w:val="center"/>
            <w:shd w:fill="12203A"/>
          </w:tcPr>
          <w:p>
            <w:r/>
            <w:r>
              <w:rPr>
                <w:b/>
                <w:color w:val="FFFFFF"/>
                <w:sz w:val="16"/>
              </w:rPr>
              <w:t>Trigger</w:t>
            </w:r>
          </w:p>
        </w:tc>
        <w:tc>
          <w:tcPr>
            <w:tcW w:type="dxa" w:w="2556"/>
            <w:vAlign w:val="center"/>
            <w:shd w:fill="12203A"/>
          </w:tcPr>
          <w:p>
            <w:r/>
            <w:r>
              <w:rPr>
                <w:b/>
                <w:color w:val="FFFFFF"/>
                <w:sz w:val="16"/>
              </w:rPr>
              <w:t>What they need to see</w:t>
            </w:r>
          </w:p>
        </w:tc>
        <w:tc>
          <w:tcPr>
            <w:tcW w:type="dxa" w:w="2556"/>
            <w:vAlign w:val="center"/>
            <w:shd w:fill="12203A"/>
          </w:tcPr>
          <w:p>
            <w:r/>
            <w:r>
              <w:rPr>
                <w:b/>
                <w:color w:val="FFFFFF"/>
                <w:sz w:val="16"/>
              </w:rPr>
              <w:t>Exclusion / caution</w:t>
            </w:r>
          </w:p>
        </w:tc>
      </w:tr>
      <w:tr>
        <w:tc>
          <w:tcPr>
            <w:tcW w:type="dxa" w:w="2556"/>
            <w:vAlign w:val="center"/>
          </w:tcPr>
          <w:p>
            <w:r/>
            <w:r>
              <w:rPr>
                <w:b w:val="0"/>
                <w:color w:val="2B2B2B"/>
                <w:sz w:val="16"/>
              </w:rPr>
              <w:t>Adults 30+, caregivers, women managing family health, and employers seeking practical prevention support.</w:t>
            </w:r>
          </w:p>
        </w:tc>
        <w:tc>
          <w:tcPr>
            <w:tcW w:type="dxa" w:w="2556"/>
            <w:vAlign w:val="center"/>
          </w:tcPr>
          <w:p>
            <w:r/>
            <w:r>
              <w:rPr>
                <w:b w:val="0"/>
                <w:color w:val="2B2B2B"/>
                <w:sz w:val="16"/>
              </w:rPr>
              <w:t>A real-life friction or aspiration</w:t>
            </w:r>
          </w:p>
        </w:tc>
        <w:tc>
          <w:tcPr>
            <w:tcW w:type="dxa" w:w="2556"/>
            <w:vAlign w:val="center"/>
          </w:tcPr>
          <w:p>
            <w:r/>
            <w:r>
              <w:rPr>
                <w:b w:val="0"/>
                <w:color w:val="2B2B2B"/>
                <w:sz w:val="16"/>
              </w:rPr>
              <w:t>Proof in their language, a next step, and a reason to act now</w:t>
            </w:r>
          </w:p>
        </w:tc>
        <w:tc>
          <w:tcPr>
            <w:tcW w:type="dxa" w:w="2556"/>
            <w:vAlign w:val="center"/>
          </w:tcPr>
          <w:p>
            <w:r/>
            <w:r>
              <w:rPr>
                <w:b w:val="0"/>
                <w:color w:val="2B2B2B"/>
                <w:sz w:val="16"/>
              </w:rPr>
              <w:t>No unsupported performance or price claim</w:t>
            </w:r>
          </w:p>
        </w:tc>
      </w:tr>
      <w:tr>
        <w:tc>
          <w:tcPr>
            <w:tcW w:type="dxa" w:w="2556"/>
            <w:vAlign w:val="center"/>
          </w:tcPr>
          <w:p>
            <w:r/>
            <w:r>
              <w:rPr>
                <w:b w:val="0"/>
                <w:color w:val="2B2B2B"/>
                <w:sz w:val="16"/>
              </w:rPr>
              <w:t>Influencers / partners</w:t>
            </w:r>
          </w:p>
        </w:tc>
        <w:tc>
          <w:tcPr>
            <w:tcW w:type="dxa" w:w="2556"/>
            <w:vAlign w:val="center"/>
          </w:tcPr>
          <w:p>
            <w:r/>
            <w:r>
              <w:rPr>
                <w:b w:val="0"/>
                <w:color w:val="2B2B2B"/>
                <w:sz w:val="16"/>
              </w:rPr>
              <w:t>A useful story with permissioned access</w:t>
            </w:r>
          </w:p>
        </w:tc>
        <w:tc>
          <w:tcPr>
            <w:tcW w:type="dxa" w:w="2556"/>
            <w:vAlign w:val="center"/>
          </w:tcPr>
          <w:p>
            <w:r/>
            <w:r>
              <w:rPr>
                <w:b w:val="0"/>
                <w:color w:val="2B2B2B"/>
                <w:sz w:val="16"/>
              </w:rPr>
              <w:t>Clear brief, disclosure, usage rights</w:t>
            </w:r>
          </w:p>
        </w:tc>
        <w:tc>
          <w:tcPr>
            <w:tcW w:type="dxa" w:w="2556"/>
            <w:vAlign w:val="center"/>
          </w:tcPr>
          <w:p>
            <w:r/>
            <w:r>
              <w:rPr>
                <w:b w:val="0"/>
                <w:color w:val="2B2B2B"/>
                <w:sz w:val="16"/>
              </w:rPr>
              <w:t>No hidden sponsorship</w:t>
            </w:r>
          </w:p>
        </w:tc>
      </w:tr>
      <w:tr>
        <w:tc>
          <w:tcPr>
            <w:tcW w:type="dxa" w:w="2556"/>
            <w:vAlign w:val="center"/>
          </w:tcPr>
          <w:p>
            <w:r/>
            <w:r>
              <w:rPr>
                <w:b w:val="0"/>
                <w:color w:val="2B2B2B"/>
                <w:sz w:val="16"/>
              </w:rPr>
              <w:t>Sales / relationship team</w:t>
            </w:r>
          </w:p>
        </w:tc>
        <w:tc>
          <w:tcPr>
            <w:tcW w:type="dxa" w:w="2556"/>
            <w:vAlign w:val="center"/>
          </w:tcPr>
          <w:p>
            <w:r/>
            <w:r>
              <w:rPr>
                <w:b w:val="0"/>
                <w:color w:val="2B2B2B"/>
                <w:sz w:val="16"/>
              </w:rPr>
              <w:t>A signal of intent</w:t>
            </w:r>
          </w:p>
        </w:tc>
        <w:tc>
          <w:tcPr>
            <w:tcW w:type="dxa" w:w="2556"/>
            <w:vAlign w:val="center"/>
          </w:tcPr>
          <w:p>
            <w:r/>
            <w:r>
              <w:rPr>
                <w:b w:val="0"/>
                <w:color w:val="2B2B2B"/>
                <w:sz w:val="16"/>
              </w:rPr>
              <w:t>A short handoff card and owner</w:t>
            </w:r>
          </w:p>
        </w:tc>
        <w:tc>
          <w:tcPr>
            <w:tcW w:type="dxa" w:w="2556"/>
            <w:vAlign w:val="center"/>
          </w:tcPr>
          <w:p>
            <w:r/>
            <w:r>
              <w:rPr>
                <w:b w:val="0"/>
                <w:color w:val="2B2B2B"/>
                <w:sz w:val="16"/>
              </w:rPr>
              <w:t>No unconsented data sharing</w:t>
            </w:r>
          </w:p>
        </w:tc>
      </w:tr>
    </w:tbl>
    <w:p>
      <w:pPr>
        <w:spacing w:after="40"/>
      </w:pPr>
    </w:p>
    <w:p>
      <w:pPr>
        <w:spacing w:before="200" w:after="80"/>
      </w:pPr>
      <w:r>
        <w:rPr>
          <w:b/>
          <w:color w:val="12203A"/>
          <w:sz w:val="30"/>
        </w:rPr>
        <w:t>6. Big idea and creative platform</w:t>
      </w:r>
    </w:p>
    <w:p>
      <w:pPr>
        <w:spacing w:after="100" w:line="252" w:lineRule="auto"/>
      </w:pPr>
      <w:r>
        <w:t>**Care Closer** turns the category’s abstract promise into a tangible proof moment. Promise: “The next right care step is closer than you think.” Visual world: editorial Myanmar realism, restrained navy and off-white foundations, one gold signal for the next action, and real people shown in context rather than stock-photo aspiration.</w:t>
      </w:r>
    </w:p>
    <w:p>
      <w:pPr>
        <w:spacing w:after="100" w:line="252" w:lineRule="auto"/>
      </w:pPr>
      <w:r>
        <w:t>The platform can generate a hero film, short-form cutdowns, creator prompts, proof cards, CRM messages, sales handoff tools, event signage and a closeout case study without changing the core idea.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Signature moment</w:t>
            </w:r>
          </w:p>
        </w:tc>
        <w:tc>
          <w:tcPr>
            <w:tcW w:type="dxa" w:w="3408"/>
            <w:vAlign w:val="center"/>
            <w:shd w:fill="12203A"/>
          </w:tcPr>
          <w:p>
            <w:r/>
            <w:r>
              <w:rPr>
                <w:b/>
                <w:color w:val="FFFFFF"/>
                <w:sz w:val="16"/>
              </w:rPr>
              <w:t>Audience behaviour created</w:t>
            </w:r>
          </w:p>
        </w:tc>
        <w:tc>
          <w:tcPr>
            <w:tcW w:type="dxa" w:w="3408"/>
            <w:vAlign w:val="center"/>
            <w:shd w:fill="12203A"/>
          </w:tcPr>
          <w:p>
            <w:r/>
            <w:r>
              <w:rPr>
                <w:b/>
                <w:color w:val="FFFFFF"/>
                <w:sz w:val="16"/>
              </w:rPr>
              <w:t>Client result</w:t>
            </w:r>
          </w:p>
        </w:tc>
      </w:tr>
      <w:tr>
        <w:tc>
          <w:tcPr>
            <w:tcW w:type="dxa" w:w="3408"/>
            <w:vAlign w:val="center"/>
          </w:tcPr>
          <w:p>
            <w:r/>
            <w:r>
              <w:rPr>
                <w:b w:val="0"/>
                <w:color w:val="2B2B2B"/>
                <w:sz w:val="16"/>
              </w:rPr>
              <w:t>The Question Card: anonymous questions answered in plain Burmese.</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Care Map: symptom-to-service visual navigation, not diagnosis.</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Caregiver Corner: short family-oriented content capture.</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r>
        <w:tc>
          <w:tcPr>
            <w:tcW w:type="dxa" w:w="3408"/>
            <w:vAlign w:val="center"/>
          </w:tcPr>
          <w:p>
            <w:r/>
            <w:r>
              <w:rPr>
                <w:b w:val="0"/>
                <w:color w:val="2B2B2B"/>
                <w:sz w:val="16"/>
              </w:rPr>
              <w:t>72-hour reminder and referral follow-up by trained staff.</w:t>
            </w:r>
          </w:p>
        </w:tc>
        <w:tc>
          <w:tcPr>
            <w:tcW w:type="dxa" w:w="3408"/>
            <w:vAlign w:val="center"/>
          </w:tcPr>
          <w:p>
            <w:r/>
            <w:r>
              <w:rPr>
                <w:b w:val="0"/>
                <w:color w:val="2B2B2B"/>
                <w:sz w:val="16"/>
              </w:rPr>
              <w:t>Stop, recognise relevance, and complete the next step</w:t>
            </w:r>
          </w:p>
        </w:tc>
        <w:tc>
          <w:tcPr>
            <w:tcW w:type="dxa" w:w="3408"/>
            <w:vAlign w:val="center"/>
          </w:tcPr>
          <w:p>
            <w:r/>
            <w:r>
              <w:rPr>
                <w:b w:val="0"/>
                <w:color w:val="2B2B2B"/>
                <w:sz w:val="16"/>
              </w:rPr>
              <w:t>Higher-quality intent signal</w:t>
            </w:r>
          </w:p>
        </w:tc>
      </w:tr>
    </w:tbl>
    <w:p>
      <w:pPr>
        <w:spacing w:after="40"/>
      </w:pPr>
    </w:p>
    <w:p>
      <w:pPr>
        <w:spacing w:before="200" w:after="80"/>
      </w:pPr>
      <w:r>
        <w:rPr>
          <w:b/>
          <w:color w:val="12203A"/>
          <w:sz w:val="30"/>
        </w:rPr>
        <w:t>7. Event / campaign architecture</w:t>
      </w:r>
    </w:p>
    <w:p>
      <w:pPr>
        <w:spacing w:after="100" w:line="252" w:lineRule="auto"/>
      </w:pPr>
      <w:r>
        <w:t>Architecture: trigger → anticipation → arrival/discovery → proof → conversion → immediate follow-up → nurture → referral → measurement. The event layer is Two-day community care-navigation pop-up with clinician Q&amp;A and appointment desk.; the distribution layer is Facebook, Viber/Telegram community distribution, local PR, clinic CRM, employer partners, search.; the conversion layer is Qualified consultation or screening booking; secondary referral and follow-up attendance..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Journey stage</w:t>
            </w:r>
          </w:p>
        </w:tc>
        <w:tc>
          <w:tcPr>
            <w:tcW w:type="dxa" w:w="2045"/>
            <w:vAlign w:val="center"/>
            <w:shd w:fill="12203A"/>
          </w:tcPr>
          <w:p>
            <w:r/>
            <w:r>
              <w:rPr>
                <w:b/>
                <w:color w:val="FFFFFF"/>
                <w:sz w:val="16"/>
              </w:rPr>
              <w:t>Prospect sees</w:t>
            </w:r>
          </w:p>
        </w:tc>
        <w:tc>
          <w:tcPr>
            <w:tcW w:type="dxa" w:w="2045"/>
            <w:vAlign w:val="center"/>
            <w:shd w:fill="12203A"/>
          </w:tcPr>
          <w:p>
            <w:r/>
            <w:r>
              <w:rPr>
                <w:b/>
                <w:color w:val="FFFFFF"/>
                <w:sz w:val="16"/>
              </w:rPr>
              <w:t>Prospect does</w:t>
            </w:r>
          </w:p>
        </w:tc>
        <w:tc>
          <w:tcPr>
            <w:tcW w:type="dxa" w:w="2045"/>
            <w:vAlign w:val="center"/>
            <w:shd w:fill="12203A"/>
          </w:tcPr>
          <w:p>
            <w:r/>
            <w:r>
              <w:rPr>
                <w:b/>
                <w:color w:val="FFFFFF"/>
                <w:sz w:val="16"/>
              </w:rPr>
              <w:t>Receives</w:t>
            </w:r>
          </w:p>
        </w:tc>
        <w:tc>
          <w:tcPr>
            <w:tcW w:type="dxa" w:w="2045"/>
            <w:vAlign w:val="center"/>
            <w:shd w:fill="12203A"/>
          </w:tcPr>
          <w:p>
            <w:r/>
            <w:r>
              <w:rPr>
                <w:b/>
                <w:color w:val="FFFFFF"/>
                <w:sz w:val="16"/>
              </w:rPr>
              <w:t>Who responds next</w:t>
            </w:r>
          </w:p>
        </w:tc>
      </w:tr>
      <w:tr>
        <w:tc>
          <w:tcPr>
            <w:tcW w:type="dxa" w:w="2045"/>
            <w:vAlign w:val="center"/>
          </w:tcPr>
          <w:p>
            <w:r/>
            <w:r>
              <w:rPr>
                <w:b w:val="0"/>
                <w:color w:val="2B2B2B"/>
                <w:sz w:val="16"/>
              </w:rPr>
              <w:t>Trigger</w:t>
            </w:r>
          </w:p>
        </w:tc>
        <w:tc>
          <w:tcPr>
            <w:tcW w:type="dxa" w:w="2045"/>
            <w:vAlign w:val="center"/>
          </w:tcPr>
          <w:p>
            <w:r/>
            <w:r>
              <w:rPr>
                <w:b w:val="0"/>
                <w:color w:val="2B2B2B"/>
                <w:sz w:val="16"/>
              </w:rPr>
              <w:t>A culturally relevant tension</w:t>
            </w:r>
          </w:p>
        </w:tc>
        <w:tc>
          <w:tcPr>
            <w:tcW w:type="dxa" w:w="2045"/>
            <w:vAlign w:val="center"/>
          </w:tcPr>
          <w:p>
            <w:r/>
            <w:r>
              <w:rPr>
                <w:b w:val="0"/>
                <w:color w:val="2B2B2B"/>
                <w:sz w:val="16"/>
              </w:rPr>
              <w:t>Stops or saves</w:t>
            </w:r>
          </w:p>
        </w:tc>
        <w:tc>
          <w:tcPr>
            <w:tcW w:type="dxa" w:w="2045"/>
            <w:vAlign w:val="center"/>
          </w:tcPr>
          <w:p>
            <w:r/>
            <w:r>
              <w:rPr>
                <w:b w:val="0"/>
                <w:color w:val="2B2B2B"/>
                <w:sz w:val="16"/>
              </w:rPr>
              <w:t>Short proof asset</w:t>
            </w:r>
          </w:p>
        </w:tc>
        <w:tc>
          <w:tcPr>
            <w:tcW w:type="dxa" w:w="2045"/>
            <w:vAlign w:val="center"/>
          </w:tcPr>
          <w:p>
            <w:r/>
            <w:r>
              <w:rPr>
                <w:b w:val="0"/>
                <w:color w:val="2B2B2B"/>
                <w:sz w:val="16"/>
              </w:rPr>
              <w:t>ZYNTH/social team</w:t>
            </w:r>
          </w:p>
        </w:tc>
      </w:tr>
      <w:tr>
        <w:tc>
          <w:tcPr>
            <w:tcW w:type="dxa" w:w="2045"/>
            <w:vAlign w:val="center"/>
          </w:tcPr>
          <w:p>
            <w:r/>
            <w:r>
              <w:rPr>
                <w:b w:val="0"/>
                <w:color w:val="2B2B2B"/>
                <w:sz w:val="16"/>
              </w:rPr>
              <w:t>Arrival / discovery</w:t>
            </w:r>
          </w:p>
        </w:tc>
        <w:tc>
          <w:tcPr>
            <w:tcW w:type="dxa" w:w="2045"/>
            <w:vAlign w:val="center"/>
          </w:tcPr>
          <w:p>
            <w:r/>
            <w:r>
              <w:rPr>
                <w:b w:val="0"/>
                <w:color w:val="2B2B2B"/>
                <w:sz w:val="16"/>
              </w:rPr>
              <w:t>A clear choice architecture</w:t>
            </w:r>
          </w:p>
        </w:tc>
        <w:tc>
          <w:tcPr>
            <w:tcW w:type="dxa" w:w="2045"/>
            <w:vAlign w:val="center"/>
          </w:tcPr>
          <w:p>
            <w:r/>
            <w:r>
              <w:rPr>
                <w:b w:val="0"/>
                <w:color w:val="2B2B2B"/>
                <w:sz w:val="16"/>
              </w:rPr>
              <w:t>Completes diagnostic or experience</w:t>
            </w:r>
          </w:p>
        </w:tc>
        <w:tc>
          <w:tcPr>
            <w:tcW w:type="dxa" w:w="2045"/>
            <w:vAlign w:val="center"/>
          </w:tcPr>
          <w:p>
            <w:r/>
            <w:r>
              <w:rPr>
                <w:b w:val="0"/>
                <w:color w:val="2B2B2B"/>
                <w:sz w:val="16"/>
              </w:rPr>
              <w:t>Personalised card / result</w:t>
            </w:r>
          </w:p>
        </w:tc>
        <w:tc>
          <w:tcPr>
            <w:tcW w:type="dxa" w:w="2045"/>
            <w:vAlign w:val="center"/>
          </w:tcPr>
          <w:p>
            <w:r/>
            <w:r>
              <w:rPr>
                <w:b w:val="0"/>
                <w:color w:val="2B2B2B"/>
                <w:sz w:val="16"/>
              </w:rPr>
              <w:t>Host or facilitator</w:t>
            </w:r>
          </w:p>
        </w:tc>
      </w:tr>
      <w:tr>
        <w:tc>
          <w:tcPr>
            <w:tcW w:type="dxa" w:w="2045"/>
            <w:vAlign w:val="center"/>
          </w:tcPr>
          <w:p>
            <w:r/>
            <w:r>
              <w:rPr>
                <w:b w:val="0"/>
                <w:color w:val="2B2B2B"/>
                <w:sz w:val="16"/>
              </w:rPr>
              <w:t>Proof</w:t>
            </w:r>
          </w:p>
        </w:tc>
        <w:tc>
          <w:tcPr>
            <w:tcW w:type="dxa" w:w="2045"/>
            <w:vAlign w:val="center"/>
          </w:tcPr>
          <w:p>
            <w:r/>
            <w:r>
              <w:rPr>
                <w:b w:val="0"/>
                <w:color w:val="2B2B2B"/>
                <w:sz w:val="16"/>
              </w:rPr>
              <w:t>Real demonstration or case</w:t>
            </w:r>
          </w:p>
        </w:tc>
        <w:tc>
          <w:tcPr>
            <w:tcW w:type="dxa" w:w="2045"/>
            <w:vAlign w:val="center"/>
          </w:tcPr>
          <w:p>
            <w:r/>
            <w:r>
              <w:rPr>
                <w:b w:val="0"/>
                <w:color w:val="2B2B2B"/>
                <w:sz w:val="16"/>
              </w:rPr>
              <w:t>Asks, compares, tests</w:t>
            </w:r>
          </w:p>
        </w:tc>
        <w:tc>
          <w:tcPr>
            <w:tcW w:type="dxa" w:w="2045"/>
            <w:vAlign w:val="center"/>
          </w:tcPr>
          <w:p>
            <w:r/>
            <w:r>
              <w:rPr>
                <w:b w:val="0"/>
                <w:color w:val="2B2B2B"/>
                <w:sz w:val="16"/>
              </w:rPr>
              <w:t>Evidence and next step</w:t>
            </w:r>
          </w:p>
        </w:tc>
        <w:tc>
          <w:tcPr>
            <w:tcW w:type="dxa" w:w="2045"/>
            <w:vAlign w:val="center"/>
          </w:tcPr>
          <w:p>
            <w:r/>
            <w:r>
              <w:rPr>
                <w:b w:val="0"/>
                <w:color w:val="2B2B2B"/>
                <w:sz w:val="16"/>
              </w:rPr>
              <w:t>Specialist / sales</w:t>
            </w:r>
          </w:p>
        </w:tc>
      </w:tr>
      <w:tr>
        <w:tc>
          <w:tcPr>
            <w:tcW w:type="dxa" w:w="2045"/>
            <w:vAlign w:val="center"/>
          </w:tcPr>
          <w:p>
            <w:r/>
            <w:r>
              <w:rPr>
                <w:b w:val="0"/>
                <w:color w:val="2B2B2B"/>
                <w:sz w:val="16"/>
              </w:rPr>
              <w:t>Conversion</w:t>
            </w:r>
          </w:p>
        </w:tc>
        <w:tc>
          <w:tcPr>
            <w:tcW w:type="dxa" w:w="2045"/>
            <w:vAlign w:val="center"/>
          </w:tcPr>
          <w:p>
            <w:r/>
            <w:r>
              <w:rPr>
                <w:b w:val="0"/>
                <w:color w:val="2B2B2B"/>
                <w:sz w:val="16"/>
              </w:rPr>
              <w:t>Consent-based CTA</w:t>
            </w:r>
          </w:p>
        </w:tc>
        <w:tc>
          <w:tcPr>
            <w:tcW w:type="dxa" w:w="2045"/>
            <w:vAlign w:val="center"/>
          </w:tcPr>
          <w:p>
            <w:r/>
            <w:r>
              <w:rPr>
                <w:b w:val="0"/>
                <w:color w:val="2B2B2B"/>
                <w:sz w:val="16"/>
              </w:rPr>
              <w:t>Books, applies, enquires or refers</w:t>
            </w:r>
          </w:p>
        </w:tc>
        <w:tc>
          <w:tcPr>
            <w:tcW w:type="dxa" w:w="2045"/>
            <w:vAlign w:val="center"/>
          </w:tcPr>
          <w:p>
            <w:r/>
            <w:r>
              <w:rPr>
                <w:b w:val="0"/>
                <w:color w:val="2B2B2B"/>
                <w:sz w:val="16"/>
              </w:rPr>
              <w:t>Confirmation and owner</w:t>
            </w:r>
          </w:p>
        </w:tc>
        <w:tc>
          <w:tcPr>
            <w:tcW w:type="dxa" w:w="2045"/>
            <w:vAlign w:val="center"/>
          </w:tcPr>
          <w:p>
            <w:r/>
            <w:r>
              <w:rPr>
                <w:b w:val="0"/>
                <w:color w:val="2B2B2B"/>
                <w:sz w:val="16"/>
              </w:rPr>
              <w:t>Client CRM / sales</w:t>
            </w:r>
          </w:p>
        </w:tc>
      </w:tr>
      <w:tr>
        <w:tc>
          <w:tcPr>
            <w:tcW w:type="dxa" w:w="2045"/>
            <w:vAlign w:val="center"/>
          </w:tcPr>
          <w:p>
            <w:r/>
            <w:r>
              <w:rPr>
                <w:b w:val="0"/>
                <w:color w:val="2B2B2B"/>
                <w:sz w:val="16"/>
              </w:rPr>
              <w:t>Nurture</w:t>
            </w:r>
          </w:p>
        </w:tc>
        <w:tc>
          <w:tcPr>
            <w:tcW w:type="dxa" w:w="2045"/>
            <w:vAlign w:val="center"/>
          </w:tcPr>
          <w:p>
            <w:r/>
            <w:r>
              <w:rPr>
                <w:b w:val="0"/>
                <w:color w:val="2B2B2B"/>
                <w:sz w:val="16"/>
              </w:rPr>
              <w:t>Useful follow-up</w:t>
            </w:r>
          </w:p>
        </w:tc>
        <w:tc>
          <w:tcPr>
            <w:tcW w:type="dxa" w:w="2045"/>
            <w:vAlign w:val="center"/>
          </w:tcPr>
          <w:p>
            <w:r/>
            <w:r>
              <w:rPr>
                <w:b w:val="0"/>
                <w:color w:val="2B2B2B"/>
                <w:sz w:val="16"/>
              </w:rPr>
              <w:t>Returns or shares</w:t>
            </w:r>
          </w:p>
        </w:tc>
        <w:tc>
          <w:tcPr>
            <w:tcW w:type="dxa" w:w="2045"/>
            <w:vAlign w:val="center"/>
          </w:tcPr>
          <w:p>
            <w:r/>
            <w:r>
              <w:rPr>
                <w:b w:val="0"/>
                <w:color w:val="2B2B2B"/>
                <w:sz w:val="16"/>
              </w:rPr>
              <w:t>Reminder, proof, review/referral</w:t>
            </w:r>
          </w:p>
        </w:tc>
        <w:tc>
          <w:tcPr>
            <w:tcW w:type="dxa" w:w="2045"/>
            <w:vAlign w:val="center"/>
          </w:tcPr>
          <w:p>
            <w:r/>
            <w:r>
              <w:rPr>
                <w:b w:val="0"/>
                <w:color w:val="2B2B2B"/>
                <w:sz w:val="16"/>
              </w:rPr>
              <w:t>Client retention team</w:t>
            </w:r>
          </w:p>
        </w:tc>
      </w:tr>
    </w:tbl>
    <w:p>
      <w:pPr>
        <w:spacing w:after="40"/>
      </w:pPr>
    </w:p>
    <w:p>
      <w:pPr>
        <w:spacing w:before="200" w:after="80"/>
      </w:pPr>
      <w:r>
        <w:rPr>
          <w:b/>
          <w:color w:val="12203A"/>
          <w:sz w:val="30"/>
        </w:rPr>
        <w:t>8. Full marketing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Workstream</w:t>
            </w:r>
          </w:p>
        </w:tc>
        <w:tc>
          <w:tcPr>
            <w:tcW w:type="dxa" w:w="3408"/>
            <w:vAlign w:val="center"/>
            <w:shd w:fill="12203A"/>
          </w:tcPr>
          <w:p>
            <w:r/>
            <w:r>
              <w:rPr>
                <w:b/>
                <w:color w:val="FFFFFF"/>
                <w:sz w:val="16"/>
              </w:rPr>
              <w:t>Plan</w:t>
            </w:r>
          </w:p>
        </w:tc>
        <w:tc>
          <w:tcPr>
            <w:tcW w:type="dxa" w:w="3408"/>
            <w:vAlign w:val="center"/>
            <w:shd w:fill="12203A"/>
          </w:tcPr>
          <w:p>
            <w:r/>
            <w:r>
              <w:rPr>
                <w:b/>
                <w:color w:val="FFFFFF"/>
                <w:sz w:val="16"/>
              </w:rPr>
              <w:t>Output / KPI</w:t>
            </w:r>
          </w:p>
        </w:tc>
      </w:tr>
      <w:tr>
        <w:tc>
          <w:tcPr>
            <w:tcW w:type="dxa" w:w="3408"/>
            <w:vAlign w:val="center"/>
          </w:tcPr>
          <w:p>
            <w:r/>
            <w:r>
              <w:rPr>
                <w:b w:val="0"/>
                <w:color w:val="2B2B2B"/>
                <w:sz w:val="16"/>
              </w:rPr>
              <w:t>Brand</w:t>
            </w:r>
          </w:p>
        </w:tc>
        <w:tc>
          <w:tcPr>
            <w:tcW w:type="dxa" w:w="3408"/>
            <w:vAlign w:val="center"/>
          </w:tcPr>
          <w:p>
            <w:r/>
            <w:r>
              <w:rPr>
                <w:b w:val="0"/>
                <w:color w:val="2B2B2B"/>
                <w:sz w:val="16"/>
              </w:rPr>
              <w:t>Platform, visual system, Burmese/English transcreation</w:t>
            </w:r>
          </w:p>
        </w:tc>
        <w:tc>
          <w:tcPr>
            <w:tcW w:type="dxa" w:w="3408"/>
            <w:vAlign w:val="center"/>
          </w:tcPr>
          <w:p>
            <w:r/>
            <w:r>
              <w:rPr>
                <w:b w:val="0"/>
                <w:color w:val="2B2B2B"/>
                <w:sz w:val="16"/>
              </w:rPr>
              <w:t>Recognition, consistency, approval gate</w:t>
            </w:r>
          </w:p>
        </w:tc>
      </w:tr>
      <w:tr>
        <w:tc>
          <w:tcPr>
            <w:tcW w:type="dxa" w:w="3408"/>
            <w:vAlign w:val="center"/>
          </w:tcPr>
          <w:p>
            <w:r/>
            <w:r>
              <w:rPr>
                <w:b w:val="0"/>
                <w:color w:val="2B2B2B"/>
                <w:sz w:val="16"/>
              </w:rPr>
              <w:t>PR</w:t>
            </w:r>
          </w:p>
        </w:tc>
        <w:tc>
          <w:tcPr>
            <w:tcW w:type="dxa" w:w="3408"/>
            <w:vAlign w:val="center"/>
          </w:tcPr>
          <w:p>
            <w:r/>
            <w:r>
              <w:rPr>
                <w:b w:val="0"/>
                <w:color w:val="2B2B2B"/>
                <w:sz w:val="16"/>
              </w:rPr>
              <w:t>Local trade/lifestyle pitch, founder or specialist angle</w:t>
            </w:r>
          </w:p>
        </w:tc>
        <w:tc>
          <w:tcPr>
            <w:tcW w:type="dxa" w:w="3408"/>
            <w:vAlign w:val="center"/>
          </w:tcPr>
          <w:p>
            <w:r/>
            <w:r>
              <w:rPr>
                <w:b w:val="0"/>
                <w:color w:val="2B2B2B"/>
                <w:sz w:val="16"/>
              </w:rPr>
              <w:t>Qualified mentions and referral traffic</w:t>
            </w:r>
          </w:p>
        </w:tc>
      </w:tr>
      <w:tr>
        <w:tc>
          <w:tcPr>
            <w:tcW w:type="dxa" w:w="3408"/>
            <w:vAlign w:val="center"/>
          </w:tcPr>
          <w:p>
            <w:r/>
            <w:r>
              <w:rPr>
                <w:b w:val="0"/>
                <w:color w:val="2B2B2B"/>
                <w:sz w:val="16"/>
              </w:rPr>
              <w:t>Media</w:t>
            </w:r>
          </w:p>
        </w:tc>
        <w:tc>
          <w:tcPr>
            <w:tcW w:type="dxa" w:w="3408"/>
            <w:vAlign w:val="center"/>
          </w:tcPr>
          <w:p>
            <w:r/>
            <w:r>
              <w:rPr>
                <w:b w:val="0"/>
                <w:color w:val="2B2B2B"/>
                <w:sz w:val="16"/>
              </w:rPr>
              <w:t>Reach + retargeting across Meta/Google/TikTok where permitted</w:t>
            </w:r>
          </w:p>
        </w:tc>
        <w:tc>
          <w:tcPr>
            <w:tcW w:type="dxa" w:w="3408"/>
            <w:vAlign w:val="center"/>
          </w:tcPr>
          <w:p>
            <w:r/>
            <w:r>
              <w:rPr>
                <w:b w:val="0"/>
                <w:color w:val="2B2B2B"/>
                <w:sz w:val="16"/>
              </w:rPr>
              <w:t>CPM, CPC, CPL, frequency</w:t>
            </w:r>
          </w:p>
        </w:tc>
      </w:tr>
      <w:tr>
        <w:tc>
          <w:tcPr>
            <w:tcW w:type="dxa" w:w="3408"/>
            <w:vAlign w:val="center"/>
          </w:tcPr>
          <w:p>
            <w:r/>
            <w:r>
              <w:rPr>
                <w:b w:val="0"/>
                <w:color w:val="2B2B2B"/>
                <w:sz w:val="16"/>
              </w:rPr>
              <w:t>Social/content</w:t>
            </w:r>
          </w:p>
        </w:tc>
        <w:tc>
          <w:tcPr>
            <w:tcW w:type="dxa" w:w="3408"/>
            <w:vAlign w:val="center"/>
          </w:tcPr>
          <w:p>
            <w:r/>
            <w:r>
              <w:rPr>
                <w:b w:val="0"/>
                <w:color w:val="2B2B2B"/>
                <w:sz w:val="16"/>
              </w:rPr>
              <w:t>Hero, cutdowns, creator prompts, proof cards, recap</w:t>
            </w:r>
          </w:p>
        </w:tc>
        <w:tc>
          <w:tcPr>
            <w:tcW w:type="dxa" w:w="3408"/>
            <w:vAlign w:val="center"/>
          </w:tcPr>
          <w:p>
            <w:r/>
            <w:r>
              <w:rPr>
                <w:b w:val="0"/>
                <w:color w:val="2B2B2B"/>
                <w:sz w:val="16"/>
              </w:rPr>
              <w:t>Watch-through, saves, comments, shares</w:t>
            </w:r>
          </w:p>
        </w:tc>
      </w:tr>
      <w:tr>
        <w:tc>
          <w:tcPr>
            <w:tcW w:type="dxa" w:w="3408"/>
            <w:vAlign w:val="center"/>
          </w:tcPr>
          <w:p>
            <w:r/>
            <w:r>
              <w:rPr>
                <w:b w:val="0"/>
                <w:color w:val="2B2B2B"/>
                <w:sz w:val="16"/>
              </w:rPr>
              <w:t>Performance</w:t>
            </w:r>
          </w:p>
        </w:tc>
        <w:tc>
          <w:tcPr>
            <w:tcW w:type="dxa" w:w="3408"/>
            <w:vAlign w:val="center"/>
          </w:tcPr>
          <w:p>
            <w:r/>
            <w:r>
              <w:rPr>
                <w:b w:val="0"/>
                <w:color w:val="2B2B2B"/>
                <w:sz w:val="16"/>
              </w:rPr>
              <w:t>Lead or booking objective with source codes</w:t>
            </w:r>
          </w:p>
        </w:tc>
        <w:tc>
          <w:tcPr>
            <w:tcW w:type="dxa" w:w="3408"/>
            <w:vAlign w:val="center"/>
          </w:tcPr>
          <w:p>
            <w:r/>
            <w:r>
              <w:rPr>
                <w:b w:val="0"/>
                <w:color w:val="2B2B2B"/>
                <w:sz w:val="16"/>
              </w:rPr>
              <w:t>CPL/CPA, conversion rate</w:t>
            </w:r>
          </w:p>
        </w:tc>
      </w:tr>
      <w:tr>
        <w:tc>
          <w:tcPr>
            <w:tcW w:type="dxa" w:w="3408"/>
            <w:vAlign w:val="center"/>
          </w:tcPr>
          <w:p>
            <w:r/>
            <w:r>
              <w:rPr>
                <w:b w:val="0"/>
                <w:color w:val="2B2B2B"/>
                <w:sz w:val="16"/>
              </w:rPr>
              <w:t>CRM/reactivation</w:t>
            </w:r>
          </w:p>
        </w:tc>
        <w:tc>
          <w:tcPr>
            <w:tcW w:type="dxa" w:w="3408"/>
            <w:vAlign w:val="center"/>
          </w:tcPr>
          <w:p>
            <w:r/>
            <w:r>
              <w:rPr>
                <w:b w:val="0"/>
                <w:color w:val="2B2B2B"/>
                <w:sz w:val="16"/>
              </w:rPr>
              <w:t>Consent-based reminder and sales routing</w:t>
            </w:r>
          </w:p>
        </w:tc>
        <w:tc>
          <w:tcPr>
            <w:tcW w:type="dxa" w:w="3408"/>
            <w:vAlign w:val="center"/>
          </w:tcPr>
          <w:p>
            <w:r/>
            <w:r>
              <w:rPr>
                <w:b w:val="0"/>
                <w:color w:val="2B2B2B"/>
                <w:sz w:val="16"/>
              </w:rPr>
              <w:t>Response time, booked follow-up</w:t>
            </w:r>
          </w:p>
        </w:tc>
      </w:tr>
      <w:tr>
        <w:tc>
          <w:tcPr>
            <w:tcW w:type="dxa" w:w="3408"/>
            <w:vAlign w:val="center"/>
          </w:tcPr>
          <w:p>
            <w:r/>
            <w:r>
              <w:rPr>
                <w:b w:val="0"/>
                <w:color w:val="2B2B2B"/>
                <w:sz w:val="16"/>
              </w:rPr>
              <w:t>KOL/creator</w:t>
            </w:r>
          </w:p>
        </w:tc>
        <w:tc>
          <w:tcPr>
            <w:tcW w:type="dxa" w:w="3408"/>
            <w:vAlign w:val="center"/>
          </w:tcPr>
          <w:p>
            <w:r/>
            <w:r>
              <w:rPr>
                <w:b w:val="0"/>
                <w:color w:val="2B2B2B"/>
                <w:sz w:val="16"/>
              </w:rPr>
              <w:t>Proposed/TBC creators selected for audience fit, not vanity reach</w:t>
            </w:r>
          </w:p>
        </w:tc>
        <w:tc>
          <w:tcPr>
            <w:tcW w:type="dxa" w:w="3408"/>
            <w:vAlign w:val="center"/>
          </w:tcPr>
          <w:p>
            <w:r/>
            <w:r>
              <w:rPr>
                <w:b w:val="0"/>
                <w:color w:val="2B2B2B"/>
                <w:sz w:val="16"/>
              </w:rPr>
              <w:t>Qualified traffic, disclosed content</w:t>
            </w:r>
          </w:p>
        </w:tc>
      </w:tr>
      <w:tr>
        <w:tc>
          <w:tcPr>
            <w:tcW w:type="dxa" w:w="3408"/>
            <w:vAlign w:val="center"/>
          </w:tcPr>
          <w:p>
            <w:r/>
            <w:r>
              <w:rPr>
                <w:b w:val="0"/>
                <w:color w:val="2B2B2B"/>
                <w:sz w:val="16"/>
              </w:rPr>
              <w:t>Partner/community</w:t>
            </w:r>
          </w:p>
        </w:tc>
        <w:tc>
          <w:tcPr>
            <w:tcW w:type="dxa" w:w="3408"/>
            <w:vAlign w:val="center"/>
          </w:tcPr>
          <w:p>
            <w:r/>
            <w:r>
              <w:rPr>
                <w:b w:val="0"/>
                <w:color w:val="2B2B2B"/>
                <w:sz w:val="16"/>
              </w:rPr>
              <w:t>Venue, distributor, clinic, school, employer or community partner</w:t>
            </w:r>
          </w:p>
        </w:tc>
        <w:tc>
          <w:tcPr>
            <w:tcW w:type="dxa" w:w="3408"/>
            <w:vAlign w:val="center"/>
          </w:tcPr>
          <w:p>
            <w:r/>
            <w:r>
              <w:rPr>
                <w:b w:val="0"/>
                <w:color w:val="2B2B2B"/>
                <w:sz w:val="16"/>
              </w:rPr>
              <w:t>Partner leads and trust transfer</w:t>
            </w:r>
          </w:p>
        </w:tc>
      </w:tr>
      <w:tr>
        <w:tc>
          <w:tcPr>
            <w:tcW w:type="dxa" w:w="3408"/>
            <w:vAlign w:val="center"/>
          </w:tcPr>
          <w:p>
            <w:r/>
            <w:r>
              <w:rPr>
                <w:b w:val="0"/>
                <w:color w:val="2B2B2B"/>
                <w:sz w:val="16"/>
              </w:rPr>
              <w:t>Sales enablement</w:t>
            </w:r>
          </w:p>
        </w:tc>
        <w:tc>
          <w:tcPr>
            <w:tcW w:type="dxa" w:w="3408"/>
            <w:vAlign w:val="center"/>
          </w:tcPr>
          <w:p>
            <w:r/>
            <w:r>
              <w:rPr>
                <w:b w:val="0"/>
                <w:color w:val="2B2B2B"/>
                <w:sz w:val="16"/>
              </w:rPr>
              <w:t>One-page handoff card, FAQ, objection handling</w:t>
            </w:r>
          </w:p>
        </w:tc>
        <w:tc>
          <w:tcPr>
            <w:tcW w:type="dxa" w:w="3408"/>
            <w:vAlign w:val="center"/>
          </w:tcPr>
          <w:p>
            <w:r/>
            <w:r>
              <w:rPr>
                <w:b w:val="0"/>
                <w:color w:val="2B2B2B"/>
                <w:sz w:val="16"/>
              </w:rPr>
              <w:t>Lead disposition and time-to-contact</w:t>
            </w:r>
          </w:p>
        </w:tc>
      </w:tr>
      <w:tr>
        <w:tc>
          <w:tcPr>
            <w:tcW w:type="dxa" w:w="3408"/>
            <w:vAlign w:val="center"/>
          </w:tcPr>
          <w:p>
            <w:r/>
            <w:r>
              <w:rPr>
                <w:b w:val="0"/>
                <w:color w:val="2B2B2B"/>
                <w:sz w:val="16"/>
              </w:rPr>
              <w:t>Post-campaign</w:t>
            </w:r>
          </w:p>
        </w:tc>
        <w:tc>
          <w:tcPr>
            <w:tcW w:type="dxa" w:w="3408"/>
            <w:vAlign w:val="center"/>
          </w:tcPr>
          <w:p>
            <w:r/>
            <w:r>
              <w:rPr>
                <w:b w:val="0"/>
                <w:color w:val="2B2B2B"/>
                <w:sz w:val="16"/>
              </w:rPr>
              <w:t>Review request, referral prompt, case study</w:t>
            </w:r>
          </w:p>
        </w:tc>
        <w:tc>
          <w:tcPr>
            <w:tcW w:type="dxa" w:w="3408"/>
            <w:vAlign w:val="center"/>
          </w:tcPr>
          <w:p>
            <w:r/>
            <w:r>
              <w:rPr>
                <w:b w:val="0"/>
                <w:color w:val="2B2B2B"/>
                <w:sz w:val="16"/>
              </w:rPr>
              <w:t>Advocacy, repeat, referral rate</w:t>
            </w:r>
          </w:p>
        </w:tc>
      </w:tr>
    </w:tbl>
    <w:p>
      <w:pPr>
        <w:spacing w:after="40"/>
      </w:pPr>
    </w:p>
    <w:p>
      <w:pPr>
        <w:spacing w:before="200" w:after="80"/>
      </w:pPr>
      <w:r>
        <w:rPr>
          <w:b/>
          <w:color w:val="12203A"/>
          <w:sz w:val="30"/>
        </w:rPr>
        <w:t>9. Experience and production design</w:t>
      </w:r>
    </w:p>
    <w:p>
      <w:pPr>
        <w:spacing w:after="100" w:line="252" w:lineRule="auto"/>
      </w:pPr>
      <w:r>
        <w:t>Venue/site direction: Yangon township community venue and partner clinic, TBC. Production direction: Clinic-clean visual system, privacy curtains, 1.5m accessible route, queue marshals, hand hygiene, medical escalation protocol.. The experience is designed to create the audience behaviour that supports the conversion, not to add decoration. All dimensions are planning assumptions; supplier engineering, fire/electrical review, venue approval and local permits remain open gates.</w:t>
      </w:r>
    </w:p>
    <w:p>
      <w:pPr>
        <w:spacing w:after="100" w:line="252" w:lineRule="auto"/>
      </w:pPr>
      <w:r>
        <w:t>Part A — SKETCH DESIGN. The plan view shows entry/exit, registration, discovery/proof, demo, conversion, content capture, circulation and safety assumptions. It is a concept-board and spatial-planning aid, not a construction drawing.</w:t>
      </w:r>
    </w:p>
    <w:p>
      <w:pPr>
        <w:jc w:val="center"/>
      </w:pPr>
      <w:r>
        <w:drawing>
          <wp:inline xmlns:a="http://schemas.openxmlformats.org/drawingml/2006/main" xmlns:pic="http://schemas.openxmlformats.org/drawingml/2006/picture">
            <wp:extent cx="6035040" cy="3445582"/>
            <wp:docPr id="1" name="Picture 1"/>
            <wp:cNvGraphicFramePr>
              <a:graphicFrameLocks noChangeAspect="1"/>
            </wp:cNvGraphicFramePr>
            <a:graphic>
              <a:graphicData uri="http://schemas.openxmlformats.org/drawingml/2006/picture">
                <pic:pic>
                  <pic:nvPicPr>
                    <pic:cNvPr id="0" name="2026-08-20_ZYNTH_care_closer_SketchDesign.png"/>
                    <pic:cNvPicPr/>
                  </pic:nvPicPr>
                  <pic:blipFill>
                    <a:blip r:embed="rId11"/>
                    <a:stretch>
                      <a:fillRect/>
                    </a:stretch>
                  </pic:blipFill>
                  <pic:spPr>
                    <a:xfrm>
                      <a:off x="0" y="0"/>
                      <a:ext cx="6035040" cy="3445582"/>
                    </a:xfrm>
                    <a:prstGeom prst="rect"/>
                  </pic:spPr>
                </pic:pic>
              </a:graphicData>
            </a:graphic>
          </wp:inline>
        </w:drawing>
      </w:r>
    </w:p>
    <w:p>
      <w:pPr>
        <w:spacing w:after="100" w:line="252" w:lineRule="auto"/>
      </w:pPr>
      <w:r>
        <w:t>Part B — 3D DESIGN. The hero perspective is a client-viewable render-style direction. It is not an editable Blender, FBX, GLB or CAD file. Dimensions, materials, LED/video surfaces, lighting and sightlines must be validated by the appointed supplier and venue.</w:t>
      </w:r>
    </w:p>
    <w:p>
      <w:pPr>
        <w:jc w:val="center"/>
      </w:pPr>
      <w:r>
        <w:drawing>
          <wp:inline xmlns:a="http://schemas.openxmlformats.org/drawingml/2006/main" xmlns:pic="http://schemas.openxmlformats.org/drawingml/2006/picture">
            <wp:extent cx="6035040" cy="3469748"/>
            <wp:docPr id="2" name="Picture 2"/>
            <wp:cNvGraphicFramePr>
              <a:graphicFrameLocks noChangeAspect="1"/>
            </wp:cNvGraphicFramePr>
            <a:graphic>
              <a:graphicData uri="http://schemas.openxmlformats.org/drawingml/2006/picture">
                <pic:pic>
                  <pic:nvPicPr>
                    <pic:cNvPr id="0" name="2026-08-20_ZYNTH_care_closer_3DDesign_Hero.png"/>
                    <pic:cNvPicPr/>
                  </pic:nvPicPr>
                  <pic:blipFill>
                    <a:blip r:embed="rId12"/>
                    <a:stretch>
                      <a:fillRect/>
                    </a:stretch>
                  </pic:blipFill>
                  <pic:spPr>
                    <a:xfrm>
                      <a:off x="0" y="0"/>
                      <a:ext cx="6035040" cy="3469748"/>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Design-to-production bridge</w:t>
            </w:r>
          </w:p>
        </w:tc>
        <w:tc>
          <w:tcPr>
            <w:tcW w:type="dxa" w:w="3408"/>
            <w:vAlign w:val="center"/>
            <w:shd w:fill="12203A"/>
          </w:tcPr>
          <w:p>
            <w:r/>
            <w:r>
              <w:rPr>
                <w:b/>
                <w:color w:val="FFFFFF"/>
                <w:sz w:val="16"/>
              </w:rPr>
              <w:t>Current status</w:t>
            </w:r>
          </w:p>
        </w:tc>
        <w:tc>
          <w:tcPr>
            <w:tcW w:type="dxa" w:w="3408"/>
            <w:vAlign w:val="center"/>
            <w:shd w:fill="12203A"/>
          </w:tcPr>
          <w:p>
            <w:r/>
            <w:r>
              <w:rPr>
                <w:b/>
                <w:color w:val="FFFFFF"/>
                <w:sz w:val="16"/>
              </w:rPr>
              <w:t>Next validation</w:t>
            </w:r>
          </w:p>
        </w:tc>
      </w:tr>
      <w:tr>
        <w:tc>
          <w:tcPr>
            <w:tcW w:type="dxa" w:w="3408"/>
            <w:vAlign w:val="center"/>
          </w:tcPr>
          <w:p>
            <w:r/>
            <w:r>
              <w:rPr>
                <w:b w:val="0"/>
                <w:color w:val="2B2B2B"/>
                <w:sz w:val="16"/>
              </w:rPr>
              <w:t>Conceptual</w:t>
            </w:r>
          </w:p>
        </w:tc>
        <w:tc>
          <w:tcPr>
            <w:tcW w:type="dxa" w:w="3408"/>
            <w:vAlign w:val="center"/>
          </w:tcPr>
          <w:p>
            <w:r/>
            <w:r>
              <w:rPr>
                <w:b w:val="0"/>
                <w:color w:val="2B2B2B"/>
                <w:sz w:val="16"/>
              </w:rPr>
              <w:t>Mood, zone logic, hero message, material intent</w:t>
            </w:r>
          </w:p>
        </w:tc>
        <w:tc>
          <w:tcPr>
            <w:tcW w:type="dxa" w:w="3408"/>
            <w:vAlign w:val="center"/>
          </w:tcPr>
          <w:p>
            <w:r/>
            <w:r>
              <w:rPr>
                <w:b w:val="0"/>
                <w:color w:val="2B2B2B"/>
                <w:sz w:val="16"/>
              </w:rPr>
              <w:t>Client concept approval</w:t>
            </w:r>
          </w:p>
        </w:tc>
      </w:tr>
      <w:tr>
        <w:tc>
          <w:tcPr>
            <w:tcW w:type="dxa" w:w="3408"/>
            <w:vAlign w:val="center"/>
          </w:tcPr>
          <w:p>
            <w:r/>
            <w:r>
              <w:rPr>
                <w:b w:val="0"/>
                <w:color w:val="2B2B2B"/>
                <w:sz w:val="16"/>
              </w:rPr>
              <w:t>Buildable as shown in principle</w:t>
            </w:r>
          </w:p>
        </w:tc>
        <w:tc>
          <w:tcPr>
            <w:tcW w:type="dxa" w:w="3408"/>
            <w:vAlign w:val="center"/>
          </w:tcPr>
          <w:p>
            <w:r/>
            <w:r>
              <w:rPr>
                <w:b w:val="0"/>
                <w:color w:val="2B2B2B"/>
                <w:sz w:val="16"/>
              </w:rPr>
              <w:t>Modular zones, signage, simple LED/AV, staff positions</w:t>
            </w:r>
          </w:p>
        </w:tc>
        <w:tc>
          <w:tcPr>
            <w:tcW w:type="dxa" w:w="3408"/>
            <w:vAlign w:val="center"/>
          </w:tcPr>
          <w:p>
            <w:r/>
            <w:r>
              <w:rPr>
                <w:b w:val="0"/>
                <w:color w:val="2B2B2B"/>
                <w:sz w:val="16"/>
              </w:rPr>
              <w:t>Supplier RFQ and venue walk-through</w:t>
            </w:r>
          </w:p>
        </w:tc>
      </w:tr>
      <w:tr>
        <w:tc>
          <w:tcPr>
            <w:tcW w:type="dxa" w:w="3408"/>
            <w:vAlign w:val="center"/>
          </w:tcPr>
          <w:p>
            <w:r/>
            <w:r>
              <w:rPr>
                <w:b w:val="0"/>
                <w:color w:val="2B2B2B"/>
                <w:sz w:val="16"/>
              </w:rPr>
              <w:t>Requires engineering</w:t>
            </w:r>
          </w:p>
        </w:tc>
        <w:tc>
          <w:tcPr>
            <w:tcW w:type="dxa" w:w="3408"/>
            <w:vAlign w:val="center"/>
          </w:tcPr>
          <w:p>
            <w:r/>
            <w:r>
              <w:rPr>
                <w:b w:val="0"/>
                <w:color w:val="2B2B2B"/>
                <w:sz w:val="16"/>
              </w:rPr>
              <w:t>Structural loading, hanging points, electrical, fire egress</w:t>
            </w:r>
          </w:p>
        </w:tc>
        <w:tc>
          <w:tcPr>
            <w:tcW w:type="dxa" w:w="3408"/>
            <w:vAlign w:val="center"/>
          </w:tcPr>
          <w:p>
            <w:r/>
            <w:r>
              <w:rPr>
                <w:b w:val="0"/>
                <w:color w:val="2B2B2B"/>
                <w:sz w:val="16"/>
              </w:rPr>
              <w:t>Venue and structural/fire review</w:t>
            </w:r>
          </w:p>
        </w:tc>
      </w:tr>
      <w:tr>
        <w:tc>
          <w:tcPr>
            <w:tcW w:type="dxa" w:w="3408"/>
            <w:vAlign w:val="center"/>
          </w:tcPr>
          <w:p>
            <w:r/>
            <w:r>
              <w:rPr>
                <w:b w:val="0"/>
                <w:color w:val="2B2B2B"/>
                <w:sz w:val="16"/>
              </w:rPr>
              <w:t>Lead time / budget impact</w:t>
            </w:r>
          </w:p>
        </w:tc>
        <w:tc>
          <w:tcPr>
            <w:tcW w:type="dxa" w:w="3408"/>
            <w:vAlign w:val="center"/>
          </w:tcPr>
          <w:p>
            <w:r/>
            <w:r>
              <w:rPr>
                <w:b w:val="0"/>
                <w:color w:val="2B2B2B"/>
                <w:sz w:val="16"/>
              </w:rPr>
              <w:t>Indicative 3–8 weeks depending on imported equipment and fabrication</w:t>
            </w:r>
          </w:p>
        </w:tc>
        <w:tc>
          <w:tcPr>
            <w:tcW w:type="dxa" w:w="3408"/>
            <w:vAlign w:val="center"/>
          </w:tcPr>
          <w:p>
            <w:r/>
            <w:r>
              <w:rPr>
                <w:b w:val="0"/>
                <w:color w:val="2B2B2B"/>
                <w:sz w:val="16"/>
              </w:rPr>
              <w:t>Lock scope before deposit</w:t>
            </w:r>
          </w:p>
        </w:tc>
      </w:tr>
    </w:tbl>
    <w:p>
      <w:pPr>
        <w:spacing w:after="40"/>
      </w:pPr>
    </w:p>
    <w:p>
      <w:pPr>
        <w:spacing w:before="200" w:after="80"/>
      </w:pPr>
      <w:r>
        <w:rPr>
          <w:b/>
          <w:color w:val="12203A"/>
          <w:sz w:val="30"/>
        </w:rPr>
        <w:t>10. Talent and programme plan</w:t>
      </w:r>
    </w:p>
    <w:p>
      <w:pPr>
        <w:spacing w:after="100" w:line="252" w:lineRule="auto"/>
      </w:pPr>
      <w:r>
        <w:t>Required talent: Licensed clinician speakers TBC, trained MC, 6 healthcare ambassadors; no performers. All names, rates, availability and usage rights are proposed/TBC until brief, conflict check and quotation. Technical crew should be sized to the selected AV and capture scope. Specialist or regulated speakers require client and legal approval.</w:t>
      </w:r>
    </w:p>
    <w:p>
      <w:pPr>
        <w:spacing w:before="200" w:after="80"/>
      </w:pPr>
      <w:r>
        <w:rPr>
          <w:b/>
          <w:color w:val="12203A"/>
          <w:sz w:val="30"/>
        </w:rPr>
        <w:t>11. Channel-by-channel content and media calendar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Timing</w:t>
            </w:r>
          </w:p>
        </w:tc>
        <w:tc>
          <w:tcPr>
            <w:tcW w:type="dxa" w:w="2045"/>
            <w:vAlign w:val="center"/>
            <w:shd w:fill="12203A"/>
          </w:tcPr>
          <w:p>
            <w:r/>
            <w:r>
              <w:rPr>
                <w:b/>
                <w:color w:val="FFFFFF"/>
                <w:sz w:val="16"/>
              </w:rPr>
              <w:t>Facebook / Instagram</w:t>
            </w:r>
          </w:p>
        </w:tc>
        <w:tc>
          <w:tcPr>
            <w:tcW w:type="dxa" w:w="2045"/>
            <w:vAlign w:val="center"/>
            <w:shd w:fill="12203A"/>
          </w:tcPr>
          <w:p>
            <w:r/>
            <w:r>
              <w:rPr>
                <w:b/>
                <w:color w:val="FFFFFF"/>
                <w:sz w:val="16"/>
              </w:rPr>
              <w:t>TikTok / video</w:t>
            </w:r>
          </w:p>
        </w:tc>
        <w:tc>
          <w:tcPr>
            <w:tcW w:type="dxa" w:w="2045"/>
            <w:vAlign w:val="center"/>
            <w:shd w:fill="12203A"/>
          </w:tcPr>
          <w:p>
            <w:r/>
            <w:r>
              <w:rPr>
                <w:b/>
                <w:color w:val="FFFFFF"/>
                <w:sz w:val="16"/>
              </w:rPr>
              <w:t>PR / partner / CRM</w:t>
            </w:r>
          </w:p>
        </w:tc>
        <w:tc>
          <w:tcPr>
            <w:tcW w:type="dxa" w:w="2045"/>
            <w:vAlign w:val="center"/>
            <w:shd w:fill="12203A"/>
          </w:tcPr>
          <w:p>
            <w:r/>
            <w:r>
              <w:rPr>
                <w:b/>
                <w:color w:val="FFFFFF"/>
                <w:sz w:val="16"/>
              </w:rPr>
              <w:t>Sales / measurement</w:t>
            </w:r>
          </w:p>
        </w:tc>
      </w:tr>
      <w:tr>
        <w:tc>
          <w:tcPr>
            <w:tcW w:type="dxa" w:w="2045"/>
            <w:vAlign w:val="center"/>
          </w:tcPr>
          <w:p>
            <w:r/>
            <w:r>
              <w:rPr>
                <w:b w:val="0"/>
                <w:color w:val="2B2B2B"/>
                <w:sz w:val="16"/>
              </w:rPr>
              <w:t>T−28 to T−21</w:t>
            </w:r>
          </w:p>
        </w:tc>
        <w:tc>
          <w:tcPr>
            <w:tcW w:type="dxa" w:w="2045"/>
            <w:vAlign w:val="center"/>
          </w:tcPr>
          <w:p>
            <w:r/>
            <w:r>
              <w:rPr>
                <w:b w:val="0"/>
                <w:color w:val="2B2B2B"/>
                <w:sz w:val="16"/>
              </w:rPr>
              <w:t>Reveal tension and saveable proof card</w:t>
            </w:r>
          </w:p>
        </w:tc>
        <w:tc>
          <w:tcPr>
            <w:tcW w:type="dxa" w:w="2045"/>
            <w:vAlign w:val="center"/>
          </w:tcPr>
          <w:p>
            <w:r/>
            <w:r>
              <w:rPr>
                <w:b w:val="0"/>
                <w:color w:val="2B2B2B"/>
                <w:sz w:val="16"/>
              </w:rPr>
              <w:t>Creator hook tests</w:t>
            </w:r>
          </w:p>
        </w:tc>
        <w:tc>
          <w:tcPr>
            <w:tcW w:type="dxa" w:w="2045"/>
            <w:vAlign w:val="center"/>
          </w:tcPr>
          <w:p>
            <w:r/>
            <w:r>
              <w:rPr>
                <w:b w:val="0"/>
                <w:color w:val="2B2B2B"/>
                <w:sz w:val="16"/>
              </w:rPr>
              <w:t>Partner save-the-date</w:t>
            </w:r>
          </w:p>
        </w:tc>
        <w:tc>
          <w:tcPr>
            <w:tcW w:type="dxa" w:w="2045"/>
            <w:vAlign w:val="center"/>
          </w:tcPr>
          <w:p>
            <w:r/>
            <w:r>
              <w:rPr>
                <w:b w:val="0"/>
                <w:color w:val="2B2B2B"/>
                <w:sz w:val="16"/>
              </w:rPr>
              <w:t>CRM audience and UTM/source-code setup</w:t>
            </w:r>
          </w:p>
        </w:tc>
      </w:tr>
      <w:tr>
        <w:tc>
          <w:tcPr>
            <w:tcW w:type="dxa" w:w="2045"/>
            <w:vAlign w:val="center"/>
          </w:tcPr>
          <w:p>
            <w:r/>
            <w:r>
              <w:rPr>
                <w:b w:val="0"/>
                <w:color w:val="2B2B2B"/>
                <w:sz w:val="16"/>
              </w:rPr>
              <w:t>T−20 to T−7</w:t>
            </w:r>
          </w:p>
        </w:tc>
        <w:tc>
          <w:tcPr>
            <w:tcW w:type="dxa" w:w="2045"/>
            <w:vAlign w:val="center"/>
          </w:tcPr>
          <w:p>
            <w:r/>
            <w:r>
              <w:rPr>
                <w:b w:val="0"/>
                <w:color w:val="2B2B2B"/>
                <w:sz w:val="16"/>
              </w:rPr>
              <w:t>Benefit-led explainers and RSVP/lead CTA</w:t>
            </w:r>
          </w:p>
        </w:tc>
        <w:tc>
          <w:tcPr>
            <w:tcW w:type="dxa" w:w="2045"/>
            <w:vAlign w:val="center"/>
          </w:tcPr>
          <w:p>
            <w:r/>
            <w:r>
              <w:rPr>
                <w:b w:val="0"/>
                <w:color w:val="2B2B2B"/>
                <w:sz w:val="16"/>
              </w:rPr>
              <w:t>Native creator proof</w:t>
            </w:r>
          </w:p>
        </w:tc>
        <w:tc>
          <w:tcPr>
            <w:tcW w:type="dxa" w:w="2045"/>
            <w:vAlign w:val="center"/>
          </w:tcPr>
          <w:p>
            <w:r/>
            <w:r>
              <w:rPr>
                <w:b w:val="0"/>
                <w:color w:val="2B2B2B"/>
                <w:sz w:val="16"/>
              </w:rPr>
              <w:t>Trade/lifestyle pitch</w:t>
            </w:r>
          </w:p>
        </w:tc>
        <w:tc>
          <w:tcPr>
            <w:tcW w:type="dxa" w:w="2045"/>
            <w:vAlign w:val="center"/>
          </w:tcPr>
          <w:p>
            <w:r/>
            <w:r>
              <w:rPr>
                <w:b w:val="0"/>
                <w:color w:val="2B2B2B"/>
                <w:sz w:val="16"/>
              </w:rPr>
              <w:t>Lead routing rehearsal</w:t>
            </w:r>
          </w:p>
        </w:tc>
      </w:tr>
      <w:tr>
        <w:tc>
          <w:tcPr>
            <w:tcW w:type="dxa" w:w="2045"/>
            <w:vAlign w:val="center"/>
          </w:tcPr>
          <w:p>
            <w:r/>
            <w:r>
              <w:rPr>
                <w:b w:val="0"/>
                <w:color w:val="2B2B2B"/>
                <w:sz w:val="16"/>
              </w:rPr>
              <w:t>T−6 to T−1</w:t>
            </w:r>
          </w:p>
        </w:tc>
        <w:tc>
          <w:tcPr>
            <w:tcW w:type="dxa" w:w="2045"/>
            <w:vAlign w:val="center"/>
          </w:tcPr>
          <w:p>
            <w:r/>
            <w:r>
              <w:rPr>
                <w:b w:val="0"/>
                <w:color w:val="2B2B2B"/>
                <w:sz w:val="16"/>
              </w:rPr>
              <w:t>FAQ, access, reminder, retargeting</w:t>
            </w:r>
          </w:p>
        </w:tc>
        <w:tc>
          <w:tcPr>
            <w:tcW w:type="dxa" w:w="2045"/>
            <w:vAlign w:val="center"/>
          </w:tcPr>
          <w:p>
            <w:r/>
            <w:r>
              <w:rPr>
                <w:b w:val="0"/>
                <w:color w:val="2B2B2B"/>
                <w:sz w:val="16"/>
              </w:rPr>
              <w:t>Countdown / behind-the-scenes</w:t>
            </w:r>
          </w:p>
        </w:tc>
        <w:tc>
          <w:tcPr>
            <w:tcW w:type="dxa" w:w="2045"/>
            <w:vAlign w:val="center"/>
          </w:tcPr>
          <w:p>
            <w:r/>
            <w:r>
              <w:rPr>
                <w:b w:val="0"/>
                <w:color w:val="2B2B2B"/>
                <w:sz w:val="16"/>
              </w:rPr>
              <w:t>Reminder and partner reposts</w:t>
            </w:r>
          </w:p>
        </w:tc>
        <w:tc>
          <w:tcPr>
            <w:tcW w:type="dxa" w:w="2045"/>
            <w:vAlign w:val="center"/>
          </w:tcPr>
          <w:p>
            <w:r/>
            <w:r>
              <w:rPr>
                <w:b w:val="0"/>
                <w:color w:val="2B2B2B"/>
                <w:sz w:val="16"/>
              </w:rPr>
              <w:t>Attendance / booking confirmation</w:t>
            </w:r>
          </w:p>
        </w:tc>
      </w:tr>
      <w:tr>
        <w:tc>
          <w:tcPr>
            <w:tcW w:type="dxa" w:w="2045"/>
            <w:vAlign w:val="center"/>
          </w:tcPr>
          <w:p>
            <w:r/>
            <w:r>
              <w:rPr>
                <w:b w:val="0"/>
                <w:color w:val="2B2B2B"/>
                <w:sz w:val="16"/>
              </w:rPr>
              <w:t>Live / launch</w:t>
            </w:r>
          </w:p>
        </w:tc>
        <w:tc>
          <w:tcPr>
            <w:tcW w:type="dxa" w:w="2045"/>
            <w:vAlign w:val="center"/>
          </w:tcPr>
          <w:p>
            <w:r/>
            <w:r>
              <w:rPr>
                <w:b w:val="0"/>
                <w:color w:val="2B2B2B"/>
                <w:sz w:val="16"/>
              </w:rPr>
              <w:t>Stories, live updates, moderation</w:t>
            </w:r>
          </w:p>
        </w:tc>
        <w:tc>
          <w:tcPr>
            <w:tcW w:type="dxa" w:w="2045"/>
            <w:vAlign w:val="center"/>
          </w:tcPr>
          <w:p>
            <w:r/>
            <w:r>
              <w:rPr>
                <w:b w:val="0"/>
                <w:color w:val="2B2B2B"/>
                <w:sz w:val="16"/>
              </w:rPr>
              <w:t>Short live cuts / creator capture</w:t>
            </w:r>
          </w:p>
        </w:tc>
        <w:tc>
          <w:tcPr>
            <w:tcW w:type="dxa" w:w="2045"/>
            <w:vAlign w:val="center"/>
          </w:tcPr>
          <w:p>
            <w:r/>
            <w:r>
              <w:rPr>
                <w:b w:val="0"/>
                <w:color w:val="2B2B2B"/>
                <w:sz w:val="16"/>
              </w:rPr>
              <w:t>Real-time issue log</w:t>
            </w:r>
          </w:p>
        </w:tc>
        <w:tc>
          <w:tcPr>
            <w:tcW w:type="dxa" w:w="2045"/>
            <w:vAlign w:val="center"/>
          </w:tcPr>
          <w:p>
            <w:r/>
            <w:r>
              <w:rPr>
                <w:b w:val="0"/>
                <w:color w:val="2B2B2B"/>
                <w:sz w:val="16"/>
              </w:rPr>
              <w:t>Handoff desk and response SLA</w:t>
            </w:r>
          </w:p>
        </w:tc>
      </w:tr>
      <w:tr>
        <w:tc>
          <w:tcPr>
            <w:tcW w:type="dxa" w:w="2045"/>
            <w:vAlign w:val="center"/>
          </w:tcPr>
          <w:p>
            <w:r/>
            <w:r>
              <w:rPr>
                <w:b w:val="0"/>
                <w:color w:val="2B2B2B"/>
                <w:sz w:val="16"/>
              </w:rPr>
              <w:t>T+1 to T+30</w:t>
            </w:r>
          </w:p>
        </w:tc>
        <w:tc>
          <w:tcPr>
            <w:tcW w:type="dxa" w:w="2045"/>
            <w:vAlign w:val="center"/>
          </w:tcPr>
          <w:p>
            <w:r/>
            <w:r>
              <w:rPr>
                <w:b w:val="0"/>
                <w:color w:val="2B2B2B"/>
                <w:sz w:val="16"/>
              </w:rPr>
              <w:t>Recap, proof, review/referral</w:t>
            </w:r>
          </w:p>
        </w:tc>
        <w:tc>
          <w:tcPr>
            <w:tcW w:type="dxa" w:w="2045"/>
            <w:vAlign w:val="center"/>
          </w:tcPr>
          <w:p>
            <w:r/>
            <w:r>
              <w:rPr>
                <w:b w:val="0"/>
                <w:color w:val="2B2B2B"/>
                <w:sz w:val="16"/>
              </w:rPr>
              <w:t>Cutdowns and testimonials</w:t>
            </w:r>
          </w:p>
        </w:tc>
        <w:tc>
          <w:tcPr>
            <w:tcW w:type="dxa" w:w="2045"/>
            <w:vAlign w:val="center"/>
          </w:tcPr>
          <w:p>
            <w:r/>
            <w:r>
              <w:rPr>
                <w:b w:val="0"/>
                <w:color w:val="2B2B2B"/>
                <w:sz w:val="16"/>
              </w:rPr>
              <w:t>Case-study pitch</w:t>
            </w:r>
          </w:p>
        </w:tc>
        <w:tc>
          <w:tcPr>
            <w:tcW w:type="dxa" w:w="2045"/>
            <w:vAlign w:val="center"/>
          </w:tcPr>
          <w:p>
            <w:r/>
            <w:r>
              <w:rPr>
                <w:b w:val="0"/>
                <w:color w:val="2B2B2B"/>
                <w:sz w:val="16"/>
              </w:rPr>
              <w:t>Nurture, attribution and closeout</w:t>
            </w:r>
          </w:p>
        </w:tc>
      </w:tr>
    </w:tbl>
    <w:p>
      <w:pPr>
        <w:spacing w:after="40"/>
      </w:pPr>
    </w:p>
    <w:p>
      <w:pPr>
        <w:spacing w:before="200" w:after="80"/>
      </w:pPr>
      <w:r>
        <w:rPr>
          <w:b/>
          <w:color w:val="12203A"/>
          <w:sz w:val="30"/>
        </w:rPr>
        <w:t>12. Project workflow and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Gate</w:t>
            </w:r>
          </w:p>
        </w:tc>
        <w:tc>
          <w:tcPr>
            <w:tcW w:type="dxa" w:w="3408"/>
            <w:vAlign w:val="center"/>
            <w:shd w:fill="12203A"/>
          </w:tcPr>
          <w:p>
            <w:r/>
            <w:r>
              <w:rPr>
                <w:b/>
                <w:color w:val="FFFFFF"/>
                <w:sz w:val="16"/>
              </w:rPr>
              <w:t>Work</w:t>
            </w:r>
          </w:p>
        </w:tc>
        <w:tc>
          <w:tcPr>
            <w:tcW w:type="dxa" w:w="3408"/>
            <w:vAlign w:val="center"/>
            <w:shd w:fill="12203A"/>
          </w:tcPr>
          <w:p>
            <w:r/>
            <w:r>
              <w:rPr>
                <w:b/>
                <w:color w:val="FFFFFF"/>
                <w:sz w:val="16"/>
              </w:rPr>
              <w:t>Approval / evidence</w:t>
            </w:r>
          </w:p>
        </w:tc>
      </w:tr>
      <w:tr>
        <w:tc>
          <w:tcPr>
            <w:tcW w:type="dxa" w:w="3408"/>
            <w:vAlign w:val="center"/>
          </w:tcPr>
          <w:p>
            <w:r/>
            <w:r>
              <w:rPr>
                <w:b w:val="0"/>
                <w:color w:val="2B2B2B"/>
                <w:sz w:val="16"/>
              </w:rPr>
              <w:t>1 Discovery</w:t>
            </w:r>
          </w:p>
        </w:tc>
        <w:tc>
          <w:tcPr>
            <w:tcW w:type="dxa" w:w="3408"/>
            <w:vAlign w:val="center"/>
          </w:tcPr>
          <w:p>
            <w:r/>
            <w:r>
              <w:rPr>
                <w:b w:val="0"/>
                <w:color w:val="2B2B2B"/>
                <w:sz w:val="16"/>
              </w:rPr>
              <w:t>Brief, data, business baseline, compliance scan</w:t>
            </w:r>
          </w:p>
        </w:tc>
        <w:tc>
          <w:tcPr>
            <w:tcW w:type="dxa" w:w="3408"/>
            <w:vAlign w:val="center"/>
          </w:tcPr>
          <w:p>
            <w:r/>
            <w:r>
              <w:rPr>
                <w:b w:val="0"/>
                <w:color w:val="2B2B2B"/>
                <w:sz w:val="16"/>
              </w:rPr>
              <w:t>Client access and decision owner</w:t>
            </w:r>
          </w:p>
        </w:tc>
      </w:tr>
      <w:tr>
        <w:tc>
          <w:tcPr>
            <w:tcW w:type="dxa" w:w="3408"/>
            <w:vAlign w:val="center"/>
          </w:tcPr>
          <w:p>
            <w:r/>
            <w:r>
              <w:rPr>
                <w:b w:val="0"/>
                <w:color w:val="2B2B2B"/>
                <w:sz w:val="16"/>
              </w:rPr>
              <w:t>2 Research</w:t>
            </w:r>
          </w:p>
        </w:tc>
        <w:tc>
          <w:tcPr>
            <w:tcW w:type="dxa" w:w="3408"/>
            <w:vAlign w:val="center"/>
          </w:tcPr>
          <w:p>
            <w:r/>
            <w:r>
              <w:rPr>
                <w:b w:val="0"/>
                <w:color w:val="2B2B2B"/>
                <w:sz w:val="16"/>
              </w:rPr>
              <w:t>Myanmar sources, audience, competitor/category contrast</w:t>
            </w:r>
          </w:p>
        </w:tc>
        <w:tc>
          <w:tcPr>
            <w:tcW w:type="dxa" w:w="3408"/>
            <w:vAlign w:val="center"/>
          </w:tcPr>
          <w:p>
            <w:r/>
            <w:r>
              <w:rPr>
                <w:b w:val="0"/>
                <w:color w:val="2B2B2B"/>
                <w:sz w:val="16"/>
              </w:rPr>
              <w:t>Research/source register</w:t>
            </w:r>
          </w:p>
        </w:tc>
      </w:tr>
      <w:tr>
        <w:tc>
          <w:tcPr>
            <w:tcW w:type="dxa" w:w="3408"/>
            <w:vAlign w:val="center"/>
          </w:tcPr>
          <w:p>
            <w:r/>
            <w:r>
              <w:rPr>
                <w:b w:val="0"/>
                <w:color w:val="2B2B2B"/>
                <w:sz w:val="16"/>
              </w:rPr>
              <w:t>3 Concept</w:t>
            </w:r>
          </w:p>
        </w:tc>
        <w:tc>
          <w:tcPr>
            <w:tcW w:type="dxa" w:w="3408"/>
            <w:vAlign w:val="center"/>
          </w:tcPr>
          <w:p>
            <w:r/>
            <w:r>
              <w:rPr>
                <w:b w:val="0"/>
                <w:color w:val="2B2B2B"/>
                <w:sz w:val="16"/>
              </w:rPr>
              <w:t>Platform, journey, creative routes, budget packages</w:t>
            </w:r>
          </w:p>
        </w:tc>
        <w:tc>
          <w:tcPr>
            <w:tcW w:type="dxa" w:w="3408"/>
            <w:vAlign w:val="center"/>
          </w:tcPr>
          <w:p>
            <w:r/>
            <w:r>
              <w:rPr>
                <w:b w:val="0"/>
                <w:color w:val="2B2B2B"/>
                <w:sz w:val="16"/>
              </w:rPr>
              <w:t>Concept approval</w:t>
            </w:r>
          </w:p>
        </w:tc>
      </w:tr>
      <w:tr>
        <w:tc>
          <w:tcPr>
            <w:tcW w:type="dxa" w:w="3408"/>
            <w:vAlign w:val="center"/>
          </w:tcPr>
          <w:p>
            <w:r/>
            <w:r>
              <w:rPr>
                <w:b w:val="0"/>
                <w:color w:val="2B2B2B"/>
                <w:sz w:val="16"/>
              </w:rPr>
              <w:t>4 Design</w:t>
            </w:r>
          </w:p>
        </w:tc>
        <w:tc>
          <w:tcPr>
            <w:tcW w:type="dxa" w:w="3408"/>
            <w:vAlign w:val="center"/>
          </w:tcPr>
          <w:p>
            <w:r/>
            <w:r>
              <w:rPr>
                <w:b w:val="0"/>
                <w:color w:val="2B2B2B"/>
                <w:sz w:val="16"/>
              </w:rPr>
              <w:t>Key visual, content system, sketch/3D or storyboard</w:t>
            </w:r>
          </w:p>
        </w:tc>
        <w:tc>
          <w:tcPr>
            <w:tcW w:type="dxa" w:w="3408"/>
            <w:vAlign w:val="center"/>
          </w:tcPr>
          <w:p>
            <w:r/>
            <w:r>
              <w:rPr>
                <w:b w:val="0"/>
                <w:color w:val="2B2B2B"/>
                <w:sz w:val="16"/>
              </w:rPr>
              <w:t>Design sign-off</w:t>
            </w:r>
          </w:p>
        </w:tc>
      </w:tr>
      <w:tr>
        <w:tc>
          <w:tcPr>
            <w:tcW w:type="dxa" w:w="3408"/>
            <w:vAlign w:val="center"/>
          </w:tcPr>
          <w:p>
            <w:r/>
            <w:r>
              <w:rPr>
                <w:b w:val="0"/>
                <w:color w:val="2B2B2B"/>
                <w:sz w:val="16"/>
              </w:rPr>
              <w:t>5 Production</w:t>
            </w:r>
          </w:p>
        </w:tc>
        <w:tc>
          <w:tcPr>
            <w:tcW w:type="dxa" w:w="3408"/>
            <w:vAlign w:val="center"/>
          </w:tcPr>
          <w:p>
            <w:r/>
            <w:r>
              <w:rPr>
                <w:b w:val="0"/>
                <w:color w:val="2B2B2B"/>
                <w:sz w:val="16"/>
              </w:rPr>
              <w:t>RFQ, supplier lock, talent, permits, rehearsals</w:t>
            </w:r>
          </w:p>
        </w:tc>
        <w:tc>
          <w:tcPr>
            <w:tcW w:type="dxa" w:w="3408"/>
            <w:vAlign w:val="center"/>
          </w:tcPr>
          <w:p>
            <w:r/>
            <w:r>
              <w:rPr>
                <w:b w:val="0"/>
                <w:color w:val="2B2B2B"/>
                <w:sz w:val="16"/>
              </w:rPr>
              <w:t>Production readiness review</w:t>
            </w:r>
          </w:p>
        </w:tc>
      </w:tr>
      <w:tr>
        <w:tc>
          <w:tcPr>
            <w:tcW w:type="dxa" w:w="3408"/>
            <w:vAlign w:val="center"/>
          </w:tcPr>
          <w:p>
            <w:r/>
            <w:r>
              <w:rPr>
                <w:b w:val="0"/>
                <w:color w:val="2B2B2B"/>
                <w:sz w:val="16"/>
              </w:rPr>
              <w:t>6 Launch / live</w:t>
            </w:r>
          </w:p>
        </w:tc>
        <w:tc>
          <w:tcPr>
            <w:tcW w:type="dxa" w:w="3408"/>
            <w:vAlign w:val="center"/>
          </w:tcPr>
          <w:p>
            <w:r/>
            <w:r>
              <w:rPr>
                <w:b w:val="0"/>
                <w:color w:val="2B2B2B"/>
                <w:sz w:val="16"/>
              </w:rPr>
              <w:t>Publish, operate, moderate, route leads</w:t>
            </w:r>
          </w:p>
        </w:tc>
        <w:tc>
          <w:tcPr>
            <w:tcW w:type="dxa" w:w="3408"/>
            <w:vAlign w:val="center"/>
          </w:tcPr>
          <w:p>
            <w:r/>
            <w:r>
              <w:rPr>
                <w:b w:val="0"/>
                <w:color w:val="2B2B2B"/>
                <w:sz w:val="16"/>
              </w:rPr>
              <w:t>Live log and incident plan</w:t>
            </w:r>
          </w:p>
        </w:tc>
      </w:tr>
      <w:tr>
        <w:tc>
          <w:tcPr>
            <w:tcW w:type="dxa" w:w="3408"/>
            <w:vAlign w:val="center"/>
          </w:tcPr>
          <w:p>
            <w:r/>
            <w:r>
              <w:rPr>
                <w:b w:val="0"/>
                <w:color w:val="2B2B2B"/>
                <w:sz w:val="16"/>
              </w:rPr>
              <w:t>7 Optimisation</w:t>
            </w:r>
          </w:p>
        </w:tc>
        <w:tc>
          <w:tcPr>
            <w:tcW w:type="dxa" w:w="3408"/>
            <w:vAlign w:val="center"/>
          </w:tcPr>
          <w:p>
            <w:r/>
            <w:r>
              <w:rPr>
                <w:b w:val="0"/>
                <w:color w:val="2B2B2B"/>
                <w:sz w:val="16"/>
              </w:rPr>
              <w:t>Daily/weekly readouts and creative/media changes</w:t>
            </w:r>
          </w:p>
        </w:tc>
        <w:tc>
          <w:tcPr>
            <w:tcW w:type="dxa" w:w="3408"/>
            <w:vAlign w:val="center"/>
          </w:tcPr>
          <w:p>
            <w:r/>
            <w:r>
              <w:rPr>
                <w:b w:val="0"/>
                <w:color w:val="2B2B2B"/>
                <w:sz w:val="16"/>
              </w:rPr>
              <w:t>Change log</w:t>
            </w:r>
          </w:p>
        </w:tc>
      </w:tr>
      <w:tr>
        <w:tc>
          <w:tcPr>
            <w:tcW w:type="dxa" w:w="3408"/>
            <w:vAlign w:val="center"/>
          </w:tcPr>
          <w:p>
            <w:r/>
            <w:r>
              <w:rPr>
                <w:b w:val="0"/>
                <w:color w:val="2B2B2B"/>
                <w:sz w:val="16"/>
              </w:rPr>
              <w:t>8 Report / closeout</w:t>
            </w:r>
          </w:p>
        </w:tc>
        <w:tc>
          <w:tcPr>
            <w:tcW w:type="dxa" w:w="3408"/>
            <w:vAlign w:val="center"/>
          </w:tcPr>
          <w:p>
            <w:r/>
            <w:r>
              <w:rPr>
                <w:b w:val="0"/>
                <w:color w:val="2B2B2B"/>
                <w:sz w:val="16"/>
              </w:rPr>
              <w:t>ROI/KPI, assets, learnings, next action</w:t>
            </w:r>
          </w:p>
        </w:tc>
        <w:tc>
          <w:tcPr>
            <w:tcW w:type="dxa" w:w="3408"/>
            <w:vAlign w:val="center"/>
          </w:tcPr>
          <w:p>
            <w:r/>
            <w:r>
              <w:rPr>
                <w:b w:val="0"/>
                <w:color w:val="2B2B2B"/>
                <w:sz w:val="16"/>
              </w:rPr>
              <w:t>Final report within 7 days</w:t>
            </w:r>
          </w:p>
        </w:tc>
      </w:tr>
    </w:tbl>
    <w:p>
      <w:pPr>
        <w:spacing w:after="40"/>
      </w:pPr>
    </w:p>
    <w:p>
      <w:pPr>
        <w:spacing w:before="200" w:after="80"/>
      </w:pPr>
      <w:r>
        <w:rPr>
          <w:b/>
          <w:color w:val="12203A"/>
          <w:sz w:val="30"/>
        </w:rPr>
        <w:t>13.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Party</w:t>
            </w:r>
          </w:p>
        </w:tc>
        <w:tc>
          <w:tcPr>
            <w:tcW w:type="dxa" w:w="5112"/>
            <w:vAlign w:val="center"/>
            <w:shd w:fill="12203A"/>
          </w:tcPr>
          <w:p>
            <w:r/>
            <w:r>
              <w:rPr>
                <w:b/>
                <w:color w:val="FFFFFF"/>
                <w:sz w:val="16"/>
              </w:rPr>
              <w:t>Responsibility</w:t>
            </w:r>
          </w:p>
        </w:tc>
      </w:tr>
      <w:tr>
        <w:tc>
          <w:tcPr>
            <w:tcW w:type="dxa" w:w="5112"/>
            <w:vAlign w:val="center"/>
          </w:tcPr>
          <w:p>
            <w:r/>
            <w:r>
              <w:rPr>
                <w:b w:val="0"/>
                <w:color w:val="2B2B2B"/>
                <w:sz w:val="16"/>
              </w:rPr>
              <w:t>ZYNTH</w:t>
            </w:r>
          </w:p>
        </w:tc>
        <w:tc>
          <w:tcPr>
            <w:tcW w:type="dxa" w:w="5112"/>
            <w:vAlign w:val="center"/>
          </w:tcPr>
          <w:p>
            <w:r/>
            <w:r>
              <w:rPr>
                <w:b w:val="0"/>
                <w:color w:val="2B2B2B"/>
                <w:sz w:val="16"/>
              </w:rPr>
              <w:t>Strategy, creative platform, project management, production oversight, content, media/CRM coordination, measurement and closeout.</w:t>
            </w:r>
          </w:p>
        </w:tc>
      </w:tr>
      <w:tr>
        <w:tc>
          <w:tcPr>
            <w:tcW w:type="dxa" w:w="5112"/>
            <w:vAlign w:val="center"/>
          </w:tcPr>
          <w:p>
            <w:r/>
            <w:r>
              <w:rPr>
                <w:b w:val="0"/>
                <w:color w:val="2B2B2B"/>
                <w:sz w:val="16"/>
              </w:rPr>
              <w:t>Client</w:t>
            </w:r>
          </w:p>
        </w:tc>
        <w:tc>
          <w:tcPr>
            <w:tcW w:type="dxa" w:w="5112"/>
            <w:vAlign w:val="center"/>
          </w:tcPr>
          <w:p>
            <w:r/>
            <w:r>
              <w:rPr>
                <w:b w:val="0"/>
                <w:color w:val="2B2B2B"/>
                <w:sz w:val="16"/>
              </w:rPr>
              <w:t>Business baseline, brand/legal approval, product truth, CRM/sales owner, venue access, payment and final claims approval.</w:t>
            </w:r>
          </w:p>
        </w:tc>
      </w:tr>
      <w:tr>
        <w:tc>
          <w:tcPr>
            <w:tcW w:type="dxa" w:w="5112"/>
            <w:vAlign w:val="center"/>
          </w:tcPr>
          <w:p>
            <w:r/>
            <w:r>
              <w:rPr>
                <w:b w:val="0"/>
                <w:color w:val="2B2B2B"/>
                <w:sz w:val="16"/>
              </w:rPr>
              <w:t>Vendors</w:t>
            </w:r>
          </w:p>
        </w:tc>
        <w:tc>
          <w:tcPr>
            <w:tcW w:type="dxa" w:w="5112"/>
            <w:vAlign w:val="center"/>
          </w:tcPr>
          <w:p>
            <w:r/>
            <w:r>
              <w:rPr>
                <w:b w:val="0"/>
                <w:color w:val="2B2B2B"/>
                <w:sz w:val="16"/>
              </w:rPr>
              <w:t>RFQ, engineering, fabrication, AV, staffing, safety documentation, delivery and insurance as applicable.</w:t>
            </w:r>
          </w:p>
        </w:tc>
      </w:tr>
      <w:tr>
        <w:tc>
          <w:tcPr>
            <w:tcW w:type="dxa" w:w="5112"/>
            <w:vAlign w:val="center"/>
          </w:tcPr>
          <w:p>
            <w:r/>
            <w:r>
              <w:rPr>
                <w:b w:val="0"/>
                <w:color w:val="2B2B2B"/>
                <w:sz w:val="16"/>
              </w:rPr>
              <w:t>Partners</w:t>
            </w:r>
          </w:p>
        </w:tc>
        <w:tc>
          <w:tcPr>
            <w:tcW w:type="dxa" w:w="5112"/>
            <w:vAlign w:val="center"/>
          </w:tcPr>
          <w:p>
            <w:r/>
            <w:r>
              <w:rPr>
                <w:b w:val="0"/>
                <w:color w:val="2B2B2B"/>
                <w:sz w:val="16"/>
              </w:rPr>
              <w:t>Audience access, venue/channel support, co-promotion and handoff.</w:t>
            </w:r>
          </w:p>
        </w:tc>
      </w:tr>
      <w:tr>
        <w:tc>
          <w:tcPr>
            <w:tcW w:type="dxa" w:w="5112"/>
            <w:vAlign w:val="center"/>
          </w:tcPr>
          <w:p>
            <w:r/>
            <w:r>
              <w:rPr>
                <w:b w:val="0"/>
                <w:color w:val="2B2B2B"/>
                <w:sz w:val="16"/>
              </w:rPr>
              <w:t>Talent</w:t>
            </w:r>
          </w:p>
        </w:tc>
        <w:tc>
          <w:tcPr>
            <w:tcW w:type="dxa" w:w="5112"/>
            <w:vAlign w:val="center"/>
          </w:tcPr>
          <w:p>
            <w:r/>
            <w:r>
              <w:rPr>
                <w:b w:val="0"/>
                <w:color w:val="2B2B2B"/>
                <w:sz w:val="16"/>
              </w:rPr>
              <w:t>Approved performance/content deliverables, disclosure, usage rights and call times.</w:t>
            </w:r>
          </w:p>
        </w:tc>
      </w:tr>
    </w:tbl>
    <w:p>
      <w:pPr>
        <w:spacing w:after="40"/>
      </w:pPr>
    </w:p>
    <w:p>
      <w:pPr>
        <w:spacing w:before="200" w:after="80"/>
      </w:pPr>
      <w:r>
        <w:rPr>
          <w:b/>
          <w:color w:val="12203A"/>
          <w:sz w:val="30"/>
        </w:rPr>
        <w:t>14. Detailed budget proposition (MMK)</w:t>
      </w:r>
    </w:p>
    <w:p>
      <w:pPr>
        <w:spacing w:after="100" w:line="252" w:lineRule="auto"/>
      </w:pPr>
      <w:r>
        <w:t>All amounts below are date-stamped planning ranges for 2026-08-20. Pass-through costs are separated from ZYNTH fees. USD equivalents use MMK 3,658/USD from Yoma Bank’s 2026-08-18 reference and are for planning only [6]. Rates vary materially with venue, season, availability, imported equipment, fuel, exchange-rate movement, talent profile and production complexity.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2203A"/>
          </w:tcPr>
          <w:p>
            <w:r/>
            <w:r>
              <w:rPr>
                <w:b/>
                <w:color w:val="FFFFFF"/>
                <w:sz w:val="16"/>
              </w:rPr>
              <w:t>Line item</w:t>
            </w:r>
          </w:p>
        </w:tc>
        <w:tc>
          <w:tcPr>
            <w:tcW w:type="dxa" w:w="1461"/>
            <w:vAlign w:val="center"/>
            <w:shd w:fill="12203A"/>
          </w:tcPr>
          <w:p>
            <w:r/>
            <w:r>
              <w:rPr>
                <w:b/>
                <w:color w:val="FFFFFF"/>
                <w:sz w:val="16"/>
              </w:rPr>
              <w:t>Basis / quantity</w:t>
            </w:r>
          </w:p>
        </w:tc>
        <w:tc>
          <w:tcPr>
            <w:tcW w:type="dxa" w:w="1461"/>
            <w:vAlign w:val="center"/>
            <w:shd w:fill="12203A"/>
          </w:tcPr>
          <w:p>
            <w:r/>
            <w:r>
              <w:rPr>
                <w:b/>
                <w:color w:val="FFFFFF"/>
                <w:sz w:val="16"/>
              </w:rPr>
              <w:t>Lean / Pilot</w:t>
            </w:r>
          </w:p>
        </w:tc>
        <w:tc>
          <w:tcPr>
            <w:tcW w:type="dxa" w:w="1461"/>
            <w:vAlign w:val="center"/>
            <w:shd w:fill="12203A"/>
          </w:tcPr>
          <w:p>
            <w:r/>
            <w:r>
              <w:rPr>
                <w:b/>
                <w:color w:val="FFFFFF"/>
                <w:sz w:val="16"/>
              </w:rPr>
              <w:t>Recommended</w:t>
            </w:r>
          </w:p>
        </w:tc>
        <w:tc>
          <w:tcPr>
            <w:tcW w:type="dxa" w:w="1461"/>
            <w:vAlign w:val="center"/>
            <w:shd w:fill="12203A"/>
          </w:tcPr>
          <w:p>
            <w:r/>
            <w:r>
              <w:rPr>
                <w:b/>
                <w:color w:val="FFFFFF"/>
                <w:sz w:val="16"/>
              </w:rPr>
              <w:t>Impact / Flagship</w:t>
            </w:r>
          </w:p>
        </w:tc>
        <w:tc>
          <w:tcPr>
            <w:tcW w:type="dxa" w:w="1461"/>
            <w:vAlign w:val="center"/>
            <w:shd w:fill="12203A"/>
          </w:tcPr>
          <w:p>
            <w:r/>
            <w:r>
              <w:rPr>
                <w:b/>
                <w:color w:val="FFFFFF"/>
                <w:sz w:val="16"/>
              </w:rPr>
              <w:t>Cost type</w:t>
            </w:r>
          </w:p>
        </w:tc>
        <w:tc>
          <w:tcPr>
            <w:tcW w:type="dxa" w:w="1461"/>
            <w:vAlign w:val="center"/>
            <w:shd w:fill="12203A"/>
          </w:tcPr>
          <w:p>
            <w:r/>
            <w:r>
              <w:rPr>
                <w:b/>
                <w:color w:val="FFFFFF"/>
                <w:sz w:val="16"/>
              </w:rPr>
              <w:t>Confidence</w:t>
            </w:r>
          </w:p>
        </w:tc>
      </w:tr>
      <w:tr>
        <w:tc>
          <w:tcPr>
            <w:tcW w:type="dxa" w:w="1461"/>
            <w:vAlign w:val="center"/>
          </w:tcPr>
          <w:p>
            <w:r/>
            <w:r>
              <w:rPr>
                <w:b w:val="0"/>
                <w:color w:val="2B2B2B"/>
                <w:sz w:val="16"/>
              </w:rPr>
              <w:t>Strategy / account service</w:t>
            </w:r>
          </w:p>
        </w:tc>
        <w:tc>
          <w:tcPr>
            <w:tcW w:type="dxa" w:w="1461"/>
            <w:vAlign w:val="center"/>
          </w:tcPr>
          <w:p>
            <w:r/>
            <w:r>
              <w:rPr>
                <w:b w:val="0"/>
                <w:color w:val="2B2B2B"/>
                <w:sz w:val="16"/>
              </w:rPr>
              <w:t>Discovery, research, planning, weekly governance</w:t>
            </w:r>
          </w:p>
        </w:tc>
        <w:tc>
          <w:tcPr>
            <w:tcW w:type="dxa" w:w="1461"/>
            <w:vAlign w:val="center"/>
          </w:tcPr>
          <w:p>
            <w:r/>
            <w:r>
              <w:rPr>
                <w:b w:val="0"/>
                <w:color w:val="2B2B2B"/>
                <w:sz w:val="16"/>
              </w:rPr>
              <w:t>3,840,000</w:t>
            </w:r>
          </w:p>
        </w:tc>
        <w:tc>
          <w:tcPr>
            <w:tcW w:type="dxa" w:w="1461"/>
            <w:vAlign w:val="center"/>
          </w:tcPr>
          <w:p>
            <w:r/>
            <w:r>
              <w:rPr>
                <w:b w:val="0"/>
                <w:color w:val="2B2B2B"/>
                <w:sz w:val="16"/>
              </w:rPr>
              <w:t>6,560,000</w:t>
            </w:r>
          </w:p>
        </w:tc>
        <w:tc>
          <w:tcPr>
            <w:tcW w:type="dxa" w:w="1461"/>
            <w:vAlign w:val="center"/>
          </w:tcPr>
          <w:p>
            <w:r/>
            <w:r>
              <w:rPr>
                <w:b w:val="0"/>
                <w:color w:val="2B2B2B"/>
                <w:sz w:val="16"/>
              </w:rPr>
              <w:t>9,450,000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Creative / copy</w:t>
            </w:r>
          </w:p>
        </w:tc>
        <w:tc>
          <w:tcPr>
            <w:tcW w:type="dxa" w:w="1461"/>
            <w:vAlign w:val="center"/>
          </w:tcPr>
          <w:p>
            <w:r/>
            <w:r>
              <w:rPr>
                <w:b w:val="0"/>
                <w:color w:val="2B2B2B"/>
                <w:sz w:val="16"/>
              </w:rPr>
              <w:t>Platform, key message, scripts, transcreation</w:t>
            </w:r>
          </w:p>
        </w:tc>
        <w:tc>
          <w:tcPr>
            <w:tcW w:type="dxa" w:w="1461"/>
            <w:vAlign w:val="center"/>
          </w:tcPr>
          <w:p>
            <w:r/>
            <w:r>
              <w:rPr>
                <w:b w:val="0"/>
                <w:color w:val="2B2B2B"/>
                <w:sz w:val="16"/>
              </w:rPr>
              <w:t>3,360,000</w:t>
            </w:r>
          </w:p>
        </w:tc>
        <w:tc>
          <w:tcPr>
            <w:tcW w:type="dxa" w:w="1461"/>
            <w:vAlign w:val="center"/>
          </w:tcPr>
          <w:p>
            <w:r/>
            <w:r>
              <w:rPr>
                <w:b w:val="0"/>
                <w:color w:val="2B2B2B"/>
                <w:sz w:val="16"/>
              </w:rPr>
              <w:t>5,740,000</w:t>
            </w:r>
          </w:p>
        </w:tc>
        <w:tc>
          <w:tcPr>
            <w:tcW w:type="dxa" w:w="1461"/>
            <w:vAlign w:val="center"/>
          </w:tcPr>
          <w:p>
            <w:r/>
            <w:r>
              <w:rPr>
                <w:b w:val="0"/>
                <w:color w:val="2B2B2B"/>
                <w:sz w:val="16"/>
              </w:rPr>
              <w:t>8,775,000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Design / content system</w:t>
            </w:r>
          </w:p>
        </w:tc>
        <w:tc>
          <w:tcPr>
            <w:tcW w:type="dxa" w:w="1461"/>
            <w:vAlign w:val="center"/>
          </w:tcPr>
          <w:p>
            <w:r/>
            <w:r>
              <w:rPr>
                <w:b w:val="0"/>
                <w:color w:val="2B2B2B"/>
                <w:sz w:val="16"/>
              </w:rPr>
              <w:t>Key visual, templates, channel adaptations</w:t>
            </w:r>
          </w:p>
        </w:tc>
        <w:tc>
          <w:tcPr>
            <w:tcW w:type="dxa" w:w="1461"/>
            <w:vAlign w:val="center"/>
          </w:tcPr>
          <w:p>
            <w:r/>
            <w:r>
              <w:rPr>
                <w:b w:val="0"/>
                <w:color w:val="2B2B2B"/>
                <w:sz w:val="16"/>
              </w:rPr>
              <w:t>2,880,000</w:t>
            </w:r>
          </w:p>
        </w:tc>
        <w:tc>
          <w:tcPr>
            <w:tcW w:type="dxa" w:w="1461"/>
            <w:vAlign w:val="center"/>
          </w:tcPr>
          <w:p>
            <w:r/>
            <w:r>
              <w:rPr>
                <w:b w:val="0"/>
                <w:color w:val="2B2B2B"/>
                <w:sz w:val="16"/>
              </w:rPr>
              <w:t>4,920,000</w:t>
            </w:r>
          </w:p>
        </w:tc>
        <w:tc>
          <w:tcPr>
            <w:tcW w:type="dxa" w:w="1461"/>
            <w:vAlign w:val="center"/>
          </w:tcPr>
          <w:p>
            <w:r/>
            <w:r>
              <w:rPr>
                <w:b w:val="0"/>
                <w:color w:val="2B2B2B"/>
                <w:sz w:val="16"/>
              </w:rPr>
              <w:t>8,100,000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3D / spatial / CGI</w:t>
            </w:r>
          </w:p>
        </w:tc>
        <w:tc>
          <w:tcPr>
            <w:tcW w:type="dxa" w:w="1461"/>
            <w:vAlign w:val="center"/>
          </w:tcPr>
          <w:p>
            <w:r/>
            <w:r>
              <w:rPr>
                <w:b w:val="0"/>
                <w:color w:val="2B2B2B"/>
                <w:sz w:val="16"/>
              </w:rPr>
              <w:t>Conceptual spatial direction and renders</w:t>
            </w:r>
          </w:p>
        </w:tc>
        <w:tc>
          <w:tcPr>
            <w:tcW w:type="dxa" w:w="1461"/>
            <w:vAlign w:val="center"/>
          </w:tcPr>
          <w:p>
            <w:r/>
            <w:r>
              <w:rPr>
                <w:b w:val="0"/>
                <w:color w:val="2B2B2B"/>
                <w:sz w:val="16"/>
              </w:rPr>
              <w:t>2,400,000</w:t>
            </w:r>
          </w:p>
        </w:tc>
        <w:tc>
          <w:tcPr>
            <w:tcW w:type="dxa" w:w="1461"/>
            <w:vAlign w:val="center"/>
          </w:tcPr>
          <w:p>
            <w:r/>
            <w:r>
              <w:rPr>
                <w:b w:val="0"/>
                <w:color w:val="2B2B2B"/>
                <w:sz w:val="16"/>
              </w:rPr>
              <w:t>4,100,000</w:t>
            </w:r>
          </w:p>
        </w:tc>
        <w:tc>
          <w:tcPr>
            <w:tcW w:type="dxa" w:w="1461"/>
            <w:vAlign w:val="center"/>
          </w:tcPr>
          <w:p>
            <w:r/>
            <w:r>
              <w:rPr>
                <w:b w:val="0"/>
                <w:color w:val="2B2B2B"/>
                <w:sz w:val="16"/>
              </w:rPr>
              <w:t>7,425,000</w:t>
            </w:r>
          </w:p>
        </w:tc>
        <w:tc>
          <w:tcPr>
            <w:tcW w:type="dxa" w:w="1461"/>
            <w:vAlign w:val="center"/>
          </w:tcPr>
          <w:p>
            <w:r/>
            <w:r>
              <w:rPr>
                <w:b w:val="0"/>
                <w:color w:val="2B2B2B"/>
                <w:sz w:val="16"/>
              </w:rPr>
              <w:t>ZYNTH fee / design pass</w:t>
            </w:r>
          </w:p>
        </w:tc>
        <w:tc>
          <w:tcPr>
            <w:tcW w:type="dxa" w:w="1461"/>
            <w:vAlign w:val="center"/>
          </w:tcPr>
          <w:p>
            <w:r/>
            <w:r>
              <w:rPr>
                <w:b w:val="0"/>
                <w:color w:val="2B2B2B"/>
                <w:sz w:val="16"/>
              </w:rPr>
              <w:t>Low–Medium</w:t>
            </w:r>
          </w:p>
        </w:tc>
      </w:tr>
      <w:tr>
        <w:tc>
          <w:tcPr>
            <w:tcW w:type="dxa" w:w="1461"/>
            <w:vAlign w:val="center"/>
          </w:tcPr>
          <w:p>
            <w:r/>
            <w:r>
              <w:rPr>
                <w:b w:val="0"/>
                <w:color w:val="2B2B2B"/>
                <w:sz w:val="16"/>
              </w:rPr>
              <w:t>Venue / site / permits</w:t>
            </w:r>
          </w:p>
        </w:tc>
        <w:tc>
          <w:tcPr>
            <w:tcW w:type="dxa" w:w="1461"/>
            <w:vAlign w:val="center"/>
          </w:tcPr>
          <w:p>
            <w:r/>
            <w:r>
              <w:rPr>
                <w:b w:val="0"/>
                <w:color w:val="2B2B2B"/>
                <w:sz w:val="16"/>
              </w:rPr>
              <w:t>Venue or site hire; permits TBC</w:t>
            </w:r>
          </w:p>
        </w:tc>
        <w:tc>
          <w:tcPr>
            <w:tcW w:type="dxa" w:w="1461"/>
            <w:vAlign w:val="center"/>
          </w:tcPr>
          <w:p>
            <w:r/>
            <w:r>
              <w:rPr>
                <w:b w:val="0"/>
                <w:color w:val="2B2B2B"/>
                <w:sz w:val="16"/>
              </w:rPr>
              <w:t>3,840,000</w:t>
            </w:r>
          </w:p>
        </w:tc>
        <w:tc>
          <w:tcPr>
            <w:tcW w:type="dxa" w:w="1461"/>
            <w:vAlign w:val="center"/>
          </w:tcPr>
          <w:p>
            <w:r/>
            <w:r>
              <w:rPr>
                <w:b w:val="0"/>
                <w:color w:val="2B2B2B"/>
                <w:sz w:val="16"/>
              </w:rPr>
              <w:t>6,560,000</w:t>
            </w:r>
          </w:p>
        </w:tc>
        <w:tc>
          <w:tcPr>
            <w:tcW w:type="dxa" w:w="1461"/>
            <w:vAlign w:val="center"/>
          </w:tcPr>
          <w:p>
            <w:r/>
            <w:r>
              <w:rPr>
                <w:b w:val="0"/>
                <w:color w:val="2B2B2B"/>
                <w:sz w:val="16"/>
              </w:rPr>
              <w:t>10,125,000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Production / fabrication</w:t>
            </w:r>
          </w:p>
        </w:tc>
        <w:tc>
          <w:tcPr>
            <w:tcW w:type="dxa" w:w="1461"/>
            <w:vAlign w:val="center"/>
          </w:tcPr>
          <w:p>
            <w:r/>
            <w:r>
              <w:rPr>
                <w:b w:val="0"/>
                <w:color w:val="2B2B2B"/>
                <w:sz w:val="16"/>
              </w:rPr>
              <w:t>Zones, print, furniture, signage, build</w:t>
            </w:r>
          </w:p>
        </w:tc>
        <w:tc>
          <w:tcPr>
            <w:tcW w:type="dxa" w:w="1461"/>
            <w:vAlign w:val="center"/>
          </w:tcPr>
          <w:p>
            <w:r/>
            <w:r>
              <w:rPr>
                <w:b w:val="0"/>
                <w:color w:val="2B2B2B"/>
                <w:sz w:val="16"/>
              </w:rPr>
              <w:t>5,760,000</w:t>
            </w:r>
          </w:p>
        </w:tc>
        <w:tc>
          <w:tcPr>
            <w:tcW w:type="dxa" w:w="1461"/>
            <w:vAlign w:val="center"/>
          </w:tcPr>
          <w:p>
            <w:r/>
            <w:r>
              <w:rPr>
                <w:b w:val="0"/>
                <w:color w:val="2B2B2B"/>
                <w:sz w:val="16"/>
              </w:rPr>
              <w:t>9,840,000</w:t>
            </w:r>
          </w:p>
        </w:tc>
        <w:tc>
          <w:tcPr>
            <w:tcW w:type="dxa" w:w="1461"/>
            <w:vAlign w:val="center"/>
          </w:tcPr>
          <w:p>
            <w:r/>
            <w:r>
              <w:rPr>
                <w:b w:val="0"/>
                <w:color w:val="2B2B2B"/>
                <w:sz w:val="16"/>
              </w:rPr>
              <w:t>17,550,000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Stage / AV / lighting / sound</w:t>
            </w:r>
          </w:p>
        </w:tc>
        <w:tc>
          <w:tcPr>
            <w:tcW w:type="dxa" w:w="1461"/>
            <w:vAlign w:val="center"/>
          </w:tcPr>
          <w:p>
            <w:r/>
            <w:r>
              <w:rPr>
                <w:b w:val="0"/>
                <w:color w:val="2B2B2B"/>
                <w:sz w:val="16"/>
              </w:rPr>
              <w:t>AV, power, screens, technical crew</w:t>
            </w:r>
          </w:p>
        </w:tc>
        <w:tc>
          <w:tcPr>
            <w:tcW w:type="dxa" w:w="1461"/>
            <w:vAlign w:val="center"/>
          </w:tcPr>
          <w:p>
            <w:r/>
            <w:r>
              <w:rPr>
                <w:b w:val="0"/>
                <w:color w:val="2B2B2B"/>
                <w:sz w:val="16"/>
              </w:rPr>
              <w:t>3,840,000</w:t>
            </w:r>
          </w:p>
        </w:tc>
        <w:tc>
          <w:tcPr>
            <w:tcW w:type="dxa" w:w="1461"/>
            <w:vAlign w:val="center"/>
          </w:tcPr>
          <w:p>
            <w:r/>
            <w:r>
              <w:rPr>
                <w:b w:val="0"/>
                <w:color w:val="2B2B2B"/>
                <w:sz w:val="16"/>
              </w:rPr>
              <w:t>7,380,000</w:t>
            </w:r>
          </w:p>
        </w:tc>
        <w:tc>
          <w:tcPr>
            <w:tcW w:type="dxa" w:w="1461"/>
            <w:vAlign w:val="center"/>
          </w:tcPr>
          <w:p>
            <w:r/>
            <w:r>
              <w:rPr>
                <w:b w:val="0"/>
                <w:color w:val="2B2B2B"/>
                <w:sz w:val="16"/>
              </w:rPr>
              <w:t>13,500,000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Staffing / registration / security</w:t>
            </w:r>
          </w:p>
        </w:tc>
        <w:tc>
          <w:tcPr>
            <w:tcW w:type="dxa" w:w="1461"/>
            <w:vAlign w:val="center"/>
          </w:tcPr>
          <w:p>
            <w:r/>
            <w:r>
              <w:rPr>
                <w:b w:val="0"/>
                <w:color w:val="2B2B2B"/>
                <w:sz w:val="16"/>
              </w:rPr>
              <w:t>Hosts, queue, registration, basic security</w:t>
            </w:r>
          </w:p>
        </w:tc>
        <w:tc>
          <w:tcPr>
            <w:tcW w:type="dxa" w:w="1461"/>
            <w:vAlign w:val="center"/>
          </w:tcPr>
          <w:p>
            <w:r/>
            <w:r>
              <w:rPr>
                <w:b w:val="0"/>
                <w:color w:val="2B2B2B"/>
                <w:sz w:val="16"/>
              </w:rPr>
              <w:t>2,400,000</w:t>
            </w:r>
          </w:p>
        </w:tc>
        <w:tc>
          <w:tcPr>
            <w:tcW w:type="dxa" w:w="1461"/>
            <w:vAlign w:val="center"/>
          </w:tcPr>
          <w:p>
            <w:r/>
            <w:r>
              <w:rPr>
                <w:b w:val="0"/>
                <w:color w:val="2B2B2B"/>
                <w:sz w:val="16"/>
              </w:rPr>
              <w:t>4,100,000</w:t>
            </w:r>
          </w:p>
        </w:tc>
        <w:tc>
          <w:tcPr>
            <w:tcW w:type="dxa" w:w="1461"/>
            <w:vAlign w:val="center"/>
          </w:tcPr>
          <w:p>
            <w:r/>
            <w:r>
              <w:rPr>
                <w:b w:val="0"/>
                <w:color w:val="2B2B2B"/>
                <w:sz w:val="16"/>
              </w:rPr>
              <w:t>7,425,000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Talent / KOL / creator</w:t>
            </w:r>
          </w:p>
        </w:tc>
        <w:tc>
          <w:tcPr>
            <w:tcW w:type="dxa" w:w="1461"/>
            <w:vAlign w:val="center"/>
          </w:tcPr>
          <w:p>
            <w:r/>
            <w:r>
              <w:rPr>
                <w:b w:val="0"/>
                <w:color w:val="2B2B2B"/>
                <w:sz w:val="16"/>
              </w:rPr>
              <w:t>Proposed/TBC; usage rights excluded until quoted</w:t>
            </w:r>
          </w:p>
        </w:tc>
        <w:tc>
          <w:tcPr>
            <w:tcW w:type="dxa" w:w="1461"/>
            <w:vAlign w:val="center"/>
          </w:tcPr>
          <w:p>
            <w:r/>
            <w:r>
              <w:rPr>
                <w:b w:val="0"/>
                <w:color w:val="2B2B2B"/>
                <w:sz w:val="16"/>
              </w:rPr>
              <w:t>3,360,000</w:t>
            </w:r>
          </w:p>
        </w:tc>
        <w:tc>
          <w:tcPr>
            <w:tcW w:type="dxa" w:w="1461"/>
            <w:vAlign w:val="center"/>
          </w:tcPr>
          <w:p>
            <w:r/>
            <w:r>
              <w:rPr>
                <w:b w:val="0"/>
                <w:color w:val="2B2B2B"/>
                <w:sz w:val="16"/>
              </w:rPr>
              <w:t>7,380,000</w:t>
            </w:r>
          </w:p>
        </w:tc>
        <w:tc>
          <w:tcPr>
            <w:tcW w:type="dxa" w:w="1461"/>
            <w:vAlign w:val="center"/>
          </w:tcPr>
          <w:p>
            <w:r/>
            <w:r>
              <w:rPr>
                <w:b w:val="0"/>
                <w:color w:val="2B2B2B"/>
                <w:sz w:val="16"/>
              </w:rPr>
              <w:t>13,500,000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Photo / video / livestream</w:t>
            </w:r>
          </w:p>
        </w:tc>
        <w:tc>
          <w:tcPr>
            <w:tcW w:type="dxa" w:w="1461"/>
            <w:vAlign w:val="center"/>
          </w:tcPr>
          <w:p>
            <w:r/>
            <w:r>
              <w:rPr>
                <w:b w:val="0"/>
                <w:color w:val="2B2B2B"/>
                <w:sz w:val="16"/>
              </w:rPr>
              <w:t>Capture, edits, live or hybrid requirements</w:t>
            </w:r>
          </w:p>
        </w:tc>
        <w:tc>
          <w:tcPr>
            <w:tcW w:type="dxa" w:w="1461"/>
            <w:vAlign w:val="center"/>
          </w:tcPr>
          <w:p>
            <w:r/>
            <w:r>
              <w:rPr>
                <w:b w:val="0"/>
                <w:color w:val="2B2B2B"/>
                <w:sz w:val="16"/>
              </w:rPr>
              <w:t>2,880,000</w:t>
            </w:r>
          </w:p>
        </w:tc>
        <w:tc>
          <w:tcPr>
            <w:tcW w:type="dxa" w:w="1461"/>
            <w:vAlign w:val="center"/>
          </w:tcPr>
          <w:p>
            <w:r/>
            <w:r>
              <w:rPr>
                <w:b w:val="0"/>
                <w:color w:val="2B2B2B"/>
                <w:sz w:val="16"/>
              </w:rPr>
              <w:t>5,740,000</w:t>
            </w:r>
          </w:p>
        </w:tc>
        <w:tc>
          <w:tcPr>
            <w:tcW w:type="dxa" w:w="1461"/>
            <w:vAlign w:val="center"/>
          </w:tcPr>
          <w:p>
            <w:r/>
            <w:r>
              <w:rPr>
                <w:b w:val="0"/>
                <w:color w:val="2B2B2B"/>
                <w:sz w:val="16"/>
              </w:rPr>
              <w:t>10,125,000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Transport / logistics / catering</w:t>
            </w:r>
          </w:p>
        </w:tc>
        <w:tc>
          <w:tcPr>
            <w:tcW w:type="dxa" w:w="1461"/>
            <w:vAlign w:val="center"/>
          </w:tcPr>
          <w:p>
            <w:r/>
            <w:r>
              <w:rPr>
                <w:b w:val="0"/>
                <w:color w:val="2B2B2B"/>
                <w:sz w:val="16"/>
              </w:rPr>
              <w:t>Route, meals, delivery, fuel allowance</w:t>
            </w:r>
          </w:p>
        </w:tc>
        <w:tc>
          <w:tcPr>
            <w:tcW w:type="dxa" w:w="1461"/>
            <w:vAlign w:val="center"/>
          </w:tcPr>
          <w:p>
            <w:r/>
            <w:r>
              <w:rPr>
                <w:b w:val="0"/>
                <w:color w:val="2B2B2B"/>
                <w:sz w:val="16"/>
              </w:rPr>
              <w:t>2,400,000</w:t>
            </w:r>
          </w:p>
        </w:tc>
        <w:tc>
          <w:tcPr>
            <w:tcW w:type="dxa" w:w="1461"/>
            <w:vAlign w:val="center"/>
          </w:tcPr>
          <w:p>
            <w:r/>
            <w:r>
              <w:rPr>
                <w:b w:val="0"/>
                <w:color w:val="2B2B2B"/>
                <w:sz w:val="16"/>
              </w:rPr>
              <w:t>4,100,000</w:t>
            </w:r>
          </w:p>
        </w:tc>
        <w:tc>
          <w:tcPr>
            <w:tcW w:type="dxa" w:w="1461"/>
            <w:vAlign w:val="center"/>
          </w:tcPr>
          <w:p>
            <w:r/>
            <w:r>
              <w:rPr>
                <w:b w:val="0"/>
                <w:color w:val="2B2B2B"/>
                <w:sz w:val="16"/>
              </w:rPr>
              <w:t>8,100,000</w:t>
            </w:r>
          </w:p>
        </w:tc>
        <w:tc>
          <w:tcPr>
            <w:tcW w:type="dxa" w:w="1461"/>
            <w:vAlign w:val="center"/>
          </w:tcPr>
          <w:p>
            <w:r/>
            <w:r>
              <w:rPr>
                <w:b w:val="0"/>
                <w:color w:val="2B2B2B"/>
                <w:sz w:val="16"/>
              </w:rPr>
              <w:t>Pass-through</w:t>
            </w:r>
          </w:p>
        </w:tc>
        <w:tc>
          <w:tcPr>
            <w:tcW w:type="dxa" w:w="1461"/>
            <w:vAlign w:val="center"/>
          </w:tcPr>
          <w:p>
            <w:r/>
            <w:r>
              <w:rPr>
                <w:b w:val="0"/>
                <w:color w:val="2B2B2B"/>
                <w:sz w:val="16"/>
              </w:rPr>
              <w:t>Low</w:t>
            </w:r>
          </w:p>
        </w:tc>
      </w:tr>
      <w:tr>
        <w:tc>
          <w:tcPr>
            <w:tcW w:type="dxa" w:w="1461"/>
            <w:vAlign w:val="center"/>
          </w:tcPr>
          <w:p>
            <w:r/>
            <w:r>
              <w:rPr>
                <w:b w:val="0"/>
                <w:color w:val="2B2B2B"/>
                <w:sz w:val="16"/>
              </w:rPr>
              <w:t>Media spend / paid digital</w:t>
            </w:r>
          </w:p>
        </w:tc>
        <w:tc>
          <w:tcPr>
            <w:tcW w:type="dxa" w:w="1461"/>
            <w:vAlign w:val="center"/>
          </w:tcPr>
          <w:p>
            <w:r/>
            <w:r>
              <w:rPr>
                <w:b w:val="0"/>
                <w:color w:val="2B2B2B"/>
                <w:sz w:val="16"/>
              </w:rPr>
              <w:t>Paid distribution; platform billable spend</w:t>
            </w:r>
          </w:p>
        </w:tc>
        <w:tc>
          <w:tcPr>
            <w:tcW w:type="dxa" w:w="1461"/>
            <w:vAlign w:val="center"/>
          </w:tcPr>
          <w:p>
            <w:r/>
            <w:r>
              <w:rPr>
                <w:b w:val="0"/>
                <w:color w:val="2B2B2B"/>
                <w:sz w:val="16"/>
              </w:rPr>
              <w:t>4,320,000</w:t>
            </w:r>
          </w:p>
        </w:tc>
        <w:tc>
          <w:tcPr>
            <w:tcW w:type="dxa" w:w="1461"/>
            <w:vAlign w:val="center"/>
          </w:tcPr>
          <w:p>
            <w:r/>
            <w:r>
              <w:rPr>
                <w:b w:val="0"/>
                <w:color w:val="2B2B2B"/>
                <w:sz w:val="16"/>
              </w:rPr>
              <w:t>7,380,000</w:t>
            </w:r>
          </w:p>
        </w:tc>
        <w:tc>
          <w:tcPr>
            <w:tcW w:type="dxa" w:w="1461"/>
            <w:vAlign w:val="center"/>
          </w:tcPr>
          <w:p>
            <w:r/>
            <w:r>
              <w:rPr>
                <w:b w:val="0"/>
                <w:color w:val="2B2B2B"/>
                <w:sz w:val="16"/>
              </w:rPr>
              <w:t>10,800,000</w:t>
            </w:r>
          </w:p>
        </w:tc>
        <w:tc>
          <w:tcPr>
            <w:tcW w:type="dxa" w:w="1461"/>
            <w:vAlign w:val="center"/>
          </w:tcPr>
          <w:p>
            <w:r/>
            <w:r>
              <w:rPr>
                <w:b w:val="0"/>
                <w:color w:val="2B2B2B"/>
                <w:sz w:val="16"/>
              </w:rPr>
              <w:t>Pass-through</w:t>
            </w:r>
          </w:p>
        </w:tc>
        <w:tc>
          <w:tcPr>
            <w:tcW w:type="dxa" w:w="1461"/>
            <w:vAlign w:val="center"/>
          </w:tcPr>
          <w:p>
            <w:r/>
            <w:r>
              <w:rPr>
                <w:b w:val="0"/>
                <w:color w:val="2B2B2B"/>
                <w:sz w:val="16"/>
              </w:rPr>
              <w:t>Medium</w:t>
            </w:r>
          </w:p>
        </w:tc>
      </w:tr>
      <w:tr>
        <w:tc>
          <w:tcPr>
            <w:tcW w:type="dxa" w:w="1461"/>
            <w:vAlign w:val="center"/>
          </w:tcPr>
          <w:p>
            <w:r/>
            <w:r>
              <w:rPr>
                <w:b w:val="0"/>
                <w:color w:val="2B2B2B"/>
                <w:sz w:val="16"/>
              </w:rPr>
              <w:t>CRM / automation / measurement</w:t>
            </w:r>
          </w:p>
        </w:tc>
        <w:tc>
          <w:tcPr>
            <w:tcW w:type="dxa" w:w="1461"/>
            <w:vAlign w:val="center"/>
          </w:tcPr>
          <w:p>
            <w:r/>
            <w:r>
              <w:rPr>
                <w:b w:val="0"/>
                <w:color w:val="2B2B2B"/>
                <w:sz w:val="16"/>
              </w:rPr>
              <w:t>Lead routing, dashboard, report, closeout</w:t>
            </w:r>
          </w:p>
        </w:tc>
        <w:tc>
          <w:tcPr>
            <w:tcW w:type="dxa" w:w="1461"/>
            <w:vAlign w:val="center"/>
          </w:tcPr>
          <w:p>
            <w:r/>
            <w:r>
              <w:rPr>
                <w:b w:val="0"/>
                <w:color w:val="2B2B2B"/>
                <w:sz w:val="16"/>
              </w:rPr>
              <w:t>2,400,000</w:t>
            </w:r>
          </w:p>
        </w:tc>
        <w:tc>
          <w:tcPr>
            <w:tcW w:type="dxa" w:w="1461"/>
            <w:vAlign w:val="center"/>
          </w:tcPr>
          <w:p>
            <w:r/>
            <w:r>
              <w:rPr>
                <w:b w:val="0"/>
                <w:color w:val="2B2B2B"/>
                <w:sz w:val="16"/>
              </w:rPr>
              <w:t>4,100,000</w:t>
            </w:r>
          </w:p>
        </w:tc>
        <w:tc>
          <w:tcPr>
            <w:tcW w:type="dxa" w:w="1461"/>
            <w:vAlign w:val="center"/>
          </w:tcPr>
          <w:p>
            <w:r/>
            <w:r>
              <w:rPr>
                <w:b w:val="0"/>
                <w:color w:val="2B2B2B"/>
                <w:sz w:val="16"/>
              </w:rPr>
              <w:t>6,075,000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Agency fee</w:t>
            </w:r>
          </w:p>
        </w:tc>
        <w:tc>
          <w:tcPr>
            <w:tcW w:type="dxa" w:w="1461"/>
            <w:vAlign w:val="center"/>
          </w:tcPr>
          <w:p>
            <w:r/>
            <w:r>
              <w:rPr>
                <w:b w:val="0"/>
                <w:color w:val="2B2B2B"/>
                <w:sz w:val="16"/>
              </w:rPr>
              <w:t>Blended management and production oversight</w:t>
            </w:r>
          </w:p>
        </w:tc>
        <w:tc>
          <w:tcPr>
            <w:tcW w:type="dxa" w:w="1461"/>
            <w:vAlign w:val="center"/>
          </w:tcPr>
          <w:p>
            <w:r/>
            <w:r>
              <w:rPr>
                <w:b w:val="0"/>
                <w:color w:val="2B2B2B"/>
                <w:sz w:val="16"/>
              </w:rPr>
              <w:t>2,880,000</w:t>
            </w:r>
          </w:p>
        </w:tc>
        <w:tc>
          <w:tcPr>
            <w:tcW w:type="dxa" w:w="1461"/>
            <w:vAlign w:val="center"/>
          </w:tcPr>
          <w:p>
            <w:r/>
            <w:r>
              <w:rPr>
                <w:b w:val="0"/>
                <w:color w:val="2B2B2B"/>
                <w:sz w:val="16"/>
              </w:rPr>
              <w:t>4,920,000</w:t>
            </w:r>
          </w:p>
        </w:tc>
        <w:tc>
          <w:tcPr>
            <w:tcW w:type="dxa" w:w="1461"/>
            <w:vAlign w:val="center"/>
          </w:tcPr>
          <w:p>
            <w:r/>
            <w:r>
              <w:rPr>
                <w:b w:val="0"/>
                <w:color w:val="2B2B2B"/>
                <w:sz w:val="16"/>
              </w:rPr>
              <w:t>8,775,000</w:t>
            </w:r>
          </w:p>
        </w:tc>
        <w:tc>
          <w:tcPr>
            <w:tcW w:type="dxa" w:w="1461"/>
            <w:vAlign w:val="center"/>
          </w:tcPr>
          <w:p>
            <w:r/>
            <w:r>
              <w:rPr>
                <w:b w:val="0"/>
                <w:color w:val="2B2B2B"/>
                <w:sz w:val="16"/>
              </w:rPr>
              <w:t>ZYNTH fee</w:t>
            </w:r>
          </w:p>
        </w:tc>
        <w:tc>
          <w:tcPr>
            <w:tcW w:type="dxa" w:w="1461"/>
            <w:vAlign w:val="center"/>
          </w:tcPr>
          <w:p>
            <w:r/>
            <w:r>
              <w:rPr>
                <w:b w:val="0"/>
                <w:color w:val="2B2B2B"/>
                <w:sz w:val="16"/>
              </w:rPr>
              <w:t>Medium</w:t>
            </w:r>
          </w:p>
        </w:tc>
      </w:tr>
      <w:tr>
        <w:tc>
          <w:tcPr>
            <w:tcW w:type="dxa" w:w="1461"/>
            <w:vAlign w:val="center"/>
          </w:tcPr>
          <w:p>
            <w:r/>
            <w:r>
              <w:rPr>
                <w:b w:val="0"/>
                <w:color w:val="2B2B2B"/>
                <w:sz w:val="16"/>
              </w:rPr>
              <w:t>Taxes / levies</w:t>
            </w:r>
          </w:p>
        </w:tc>
        <w:tc>
          <w:tcPr>
            <w:tcW w:type="dxa" w:w="1461"/>
            <w:vAlign w:val="center"/>
          </w:tcPr>
          <w:p>
            <w:r/>
            <w:r>
              <w:rPr>
                <w:b w:val="0"/>
                <w:color w:val="2B2B2B"/>
                <w:sz w:val="16"/>
              </w:rPr>
              <w:t>Not included; confirm applicable local tax treatment</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TBC</w:t>
            </w:r>
          </w:p>
        </w:tc>
        <w:tc>
          <w:tcPr>
            <w:tcW w:type="dxa" w:w="1461"/>
            <w:vAlign w:val="center"/>
          </w:tcPr>
          <w:p>
            <w:r/>
            <w:r>
              <w:rPr>
                <w:b w:val="0"/>
                <w:color w:val="2B2B2B"/>
                <w:sz w:val="16"/>
              </w:rPr>
              <w:t>Client / pass-through</w:t>
            </w:r>
          </w:p>
        </w:tc>
        <w:tc>
          <w:tcPr>
            <w:tcW w:type="dxa" w:w="1461"/>
            <w:vAlign w:val="center"/>
          </w:tcPr>
          <w:p>
            <w:r/>
            <w:r>
              <w:rPr>
                <w:b w:val="0"/>
                <w:color w:val="2B2B2B"/>
                <w:sz w:val="16"/>
              </w:rPr>
              <w:t>Low</w:t>
            </w:r>
          </w:p>
        </w:tc>
      </w:tr>
      <w:tr>
        <w:tc>
          <w:tcPr>
            <w:tcW w:type="dxa" w:w="1461"/>
            <w:vAlign w:val="center"/>
          </w:tcPr>
          <w:p>
            <w:r/>
            <w:r>
              <w:rPr>
                <w:b w:val="0"/>
                <w:color w:val="2B2B2B"/>
                <w:sz w:val="16"/>
              </w:rPr>
              <w:t>Contingency</w:t>
            </w:r>
          </w:p>
        </w:tc>
        <w:tc>
          <w:tcPr>
            <w:tcW w:type="dxa" w:w="1461"/>
            <w:vAlign w:val="center"/>
          </w:tcPr>
          <w:p>
            <w:r/>
            <w:r>
              <w:rPr>
                <w:b w:val="0"/>
                <w:color w:val="2B2B2B"/>
                <w:sz w:val="16"/>
              </w:rPr>
              <w:t>Planning reserve for price, fuel, availability</w:t>
            </w:r>
          </w:p>
        </w:tc>
        <w:tc>
          <w:tcPr>
            <w:tcW w:type="dxa" w:w="1461"/>
            <w:vAlign w:val="center"/>
          </w:tcPr>
          <w:p>
            <w:r/>
            <w:r>
              <w:rPr>
                <w:b w:val="0"/>
                <w:color w:val="2B2B2B"/>
                <w:sz w:val="16"/>
              </w:rPr>
              <w:t>2,880,000</w:t>
            </w:r>
          </w:p>
        </w:tc>
        <w:tc>
          <w:tcPr>
            <w:tcW w:type="dxa" w:w="1461"/>
            <w:vAlign w:val="center"/>
          </w:tcPr>
          <w:p>
            <w:r/>
            <w:r>
              <w:rPr>
                <w:b w:val="0"/>
                <w:color w:val="2B2B2B"/>
                <w:sz w:val="16"/>
              </w:rPr>
              <w:t>4,920,000</w:t>
            </w:r>
          </w:p>
        </w:tc>
        <w:tc>
          <w:tcPr>
            <w:tcW w:type="dxa" w:w="1461"/>
            <w:vAlign w:val="center"/>
          </w:tcPr>
          <w:p>
            <w:r/>
            <w:r>
              <w:rPr>
                <w:b w:val="0"/>
                <w:color w:val="2B2B2B"/>
                <w:sz w:val="16"/>
              </w:rPr>
              <w:t>8,775,000</w:t>
            </w:r>
          </w:p>
        </w:tc>
        <w:tc>
          <w:tcPr>
            <w:tcW w:type="dxa" w:w="1461"/>
            <w:vAlign w:val="center"/>
          </w:tcPr>
          <w:p>
            <w:r/>
            <w:r>
              <w:rPr>
                <w:b w:val="0"/>
                <w:color w:val="2B2B2B"/>
                <w:sz w:val="16"/>
              </w:rPr>
              <w:t>Pass-through reserve</w:t>
            </w:r>
          </w:p>
        </w:tc>
        <w:tc>
          <w:tcPr>
            <w:tcW w:type="dxa" w:w="1461"/>
            <w:vAlign w:val="center"/>
          </w:tcPr>
          <w:p>
            <w:r/>
            <w:r>
              <w:rPr>
                <w:b w:val="0"/>
                <w:color w:val="2B2B2B"/>
                <w:sz w:val="16"/>
              </w:rPr>
              <w:t>Medium</w:t>
            </w:r>
          </w:p>
        </w:tc>
      </w:tr>
      <w:tr>
        <w:tc>
          <w:tcPr>
            <w:tcW w:type="dxa" w:w="1461"/>
            <w:vAlign w:val="center"/>
          </w:tcPr>
          <w:p>
            <w:r/>
            <w:r>
              <w:rPr>
                <w:b w:val="0"/>
                <w:color w:val="2B2B2B"/>
                <w:sz w:val="16"/>
              </w:rPr>
              <w:t>TOTAL PLANNING RANGE</w:t>
            </w:r>
          </w:p>
        </w:tc>
        <w:tc>
          <w:tcPr>
            <w:tcW w:type="dxa" w:w="1461"/>
            <w:vAlign w:val="center"/>
          </w:tcPr>
          <w:p>
            <w:r/>
            <w:r>
              <w:rPr>
                <w:b w:val="0"/>
                <w:color w:val="2B2B2B"/>
                <w:sz w:val="16"/>
              </w:rPr>
              <w:t>Indicative, not a supplier quotation</w:t>
            </w:r>
          </w:p>
        </w:tc>
        <w:tc>
          <w:tcPr>
            <w:tcW w:type="dxa" w:w="1461"/>
            <w:vAlign w:val="center"/>
          </w:tcPr>
          <w:p>
            <w:r/>
            <w:r>
              <w:rPr>
                <w:b w:val="0"/>
                <w:color w:val="2B2B2B"/>
                <w:sz w:val="16"/>
              </w:rPr>
              <w:t>48,000,000</w:t>
            </w:r>
          </w:p>
        </w:tc>
        <w:tc>
          <w:tcPr>
            <w:tcW w:type="dxa" w:w="1461"/>
            <w:vAlign w:val="center"/>
          </w:tcPr>
          <w:p>
            <w:r/>
            <w:r>
              <w:rPr>
                <w:b w:val="0"/>
                <w:color w:val="2B2B2B"/>
                <w:sz w:val="16"/>
              </w:rPr>
              <w:t>82,000,000</w:t>
            </w:r>
          </w:p>
        </w:tc>
        <w:tc>
          <w:tcPr>
            <w:tcW w:type="dxa" w:w="1461"/>
            <w:vAlign w:val="center"/>
          </w:tcPr>
          <w:p>
            <w:r/>
            <w:r>
              <w:rPr>
                <w:b w:val="0"/>
                <w:color w:val="2B2B2B"/>
                <w:sz w:val="16"/>
              </w:rPr>
              <w:t>135,000,000</w:t>
            </w:r>
          </w:p>
        </w:tc>
        <w:tc>
          <w:tcPr>
            <w:tcW w:type="dxa" w:w="1461"/>
            <w:vAlign w:val="center"/>
          </w:tcPr>
          <w:p>
            <w:r/>
            <w:r>
              <w:rPr>
                <w:b w:val="0"/>
                <w:color w:val="2B2B2B"/>
                <w:sz w:val="16"/>
              </w:rPr>
              <w:t>MMK</w:t>
            </w:r>
          </w:p>
        </w:tc>
        <w:tc>
          <w:tcPr>
            <w:tcW w:type="dxa" w:w="1461"/>
            <w:vAlign w:val="center"/>
          </w:tcPr>
          <w:p>
            <w:r/>
            <w:r>
              <w:rPr>
                <w:b w:val="0"/>
                <w:color w:val="2B2B2B"/>
                <w:sz w:val="16"/>
              </w:rPr>
              <w:t>Medium</w:t>
            </w:r>
          </w:p>
        </w:tc>
      </w:tr>
    </w:tbl>
    <w:p>
      <w:pPr>
        <w:spacing w:after="40"/>
      </w:pPr>
    </w:p>
    <w:p>
      <w:pPr>
        <w:spacing w:before="200" w:after="80"/>
      </w:pPr>
      <w:r>
        <w:rPr>
          <w:b/>
          <w:color w:val="12203A"/>
          <w:sz w:val="30"/>
        </w:rPr>
        <w:t>15. Assumptions, exclusions, procurement and payment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Assumption</w:t>
            </w:r>
          </w:p>
        </w:tc>
        <w:tc>
          <w:tcPr>
            <w:tcW w:type="dxa" w:w="3408"/>
            <w:vAlign w:val="center"/>
            <w:shd w:fill="12203A"/>
          </w:tcPr>
          <w:p>
            <w:r/>
            <w:r>
              <w:rPr>
                <w:b/>
                <w:color w:val="FFFFFF"/>
                <w:sz w:val="16"/>
              </w:rPr>
              <w:t>Planning basis</w:t>
            </w:r>
          </w:p>
        </w:tc>
        <w:tc>
          <w:tcPr>
            <w:tcW w:type="dxa" w:w="3408"/>
            <w:vAlign w:val="center"/>
            <w:shd w:fill="12203A"/>
          </w:tcPr>
          <w:p>
            <w:r/>
            <w:r>
              <w:rPr>
                <w:b/>
                <w:color w:val="FFFFFF"/>
                <w:sz w:val="16"/>
              </w:rPr>
              <w:t>Confidence / validation</w:t>
            </w:r>
          </w:p>
        </w:tc>
      </w:tr>
      <w:tr>
        <w:tc>
          <w:tcPr>
            <w:tcW w:type="dxa" w:w="3408"/>
            <w:vAlign w:val="center"/>
          </w:tcPr>
          <w:p>
            <w:r/>
            <w:r>
              <w:rPr>
                <w:b w:val="0"/>
                <w:color w:val="2B2B2B"/>
                <w:sz w:val="16"/>
              </w:rPr>
              <w:t>Venue</w:t>
            </w:r>
          </w:p>
        </w:tc>
        <w:tc>
          <w:tcPr>
            <w:tcW w:type="dxa" w:w="3408"/>
            <w:vAlign w:val="center"/>
          </w:tcPr>
          <w:p>
            <w:r/>
            <w:r>
              <w:rPr>
                <w:b w:val="0"/>
                <w:color w:val="2B2B2B"/>
                <w:sz w:val="16"/>
              </w:rPr>
              <w:t>TBC; official venue page supports capacity existence but not a live quote [4]</w:t>
            </w:r>
          </w:p>
        </w:tc>
        <w:tc>
          <w:tcPr>
            <w:tcW w:type="dxa" w:w="3408"/>
            <w:vAlign w:val="center"/>
          </w:tcPr>
          <w:p>
            <w:r/>
            <w:r>
              <w:rPr>
                <w:b w:val="0"/>
                <w:color w:val="2B2B2B"/>
                <w:sz w:val="16"/>
              </w:rPr>
              <w:t>Low — obtain 2 written quotes</w:t>
            </w:r>
          </w:p>
        </w:tc>
      </w:tr>
      <w:tr>
        <w:tc>
          <w:tcPr>
            <w:tcW w:type="dxa" w:w="3408"/>
            <w:vAlign w:val="center"/>
          </w:tcPr>
          <w:p>
            <w:r/>
            <w:r>
              <w:rPr>
                <w:b w:val="0"/>
                <w:color w:val="2B2B2B"/>
                <w:sz w:val="16"/>
              </w:rPr>
              <w:t>Media</w:t>
            </w:r>
          </w:p>
        </w:tc>
        <w:tc>
          <w:tcPr>
            <w:tcW w:type="dxa" w:w="3408"/>
            <w:vAlign w:val="center"/>
          </w:tcPr>
          <w:p>
            <w:r/>
            <w:r>
              <w:rPr>
                <w:b w:val="0"/>
                <w:color w:val="2B2B2B"/>
                <w:sz w:val="16"/>
              </w:rPr>
              <w:t>Myanmar-specific ranges are indicative and partly proxy-based [5]</w:t>
            </w:r>
          </w:p>
        </w:tc>
        <w:tc>
          <w:tcPr>
            <w:tcW w:type="dxa" w:w="3408"/>
            <w:vAlign w:val="center"/>
          </w:tcPr>
          <w:p>
            <w:r/>
            <w:r>
              <w:rPr>
                <w:b w:val="0"/>
                <w:color w:val="2B2B2B"/>
                <w:sz w:val="16"/>
              </w:rPr>
              <w:t>Medium — platform plan and live test</w:t>
            </w:r>
          </w:p>
        </w:tc>
      </w:tr>
      <w:tr>
        <w:tc>
          <w:tcPr>
            <w:tcW w:type="dxa" w:w="3408"/>
            <w:vAlign w:val="center"/>
          </w:tcPr>
          <w:p>
            <w:r/>
            <w:r>
              <w:rPr>
                <w:b w:val="0"/>
                <w:color w:val="2B2B2B"/>
                <w:sz w:val="16"/>
              </w:rPr>
              <w:t>Talent / creators</w:t>
            </w:r>
          </w:p>
        </w:tc>
        <w:tc>
          <w:tcPr>
            <w:tcW w:type="dxa" w:w="3408"/>
            <w:vAlign w:val="center"/>
          </w:tcPr>
          <w:p>
            <w:r/>
            <w:r>
              <w:rPr>
                <w:b w:val="0"/>
                <w:color w:val="2B2B2B"/>
                <w:sz w:val="16"/>
              </w:rPr>
              <w:t>Proposed/TBC; usage rights, exclusivity and travel are separate until quoted</w:t>
            </w:r>
          </w:p>
        </w:tc>
        <w:tc>
          <w:tcPr>
            <w:tcW w:type="dxa" w:w="3408"/>
            <w:vAlign w:val="center"/>
          </w:tcPr>
          <w:p>
            <w:r/>
            <w:r>
              <w:rPr>
                <w:b w:val="0"/>
                <w:color w:val="2B2B2B"/>
                <w:sz w:val="16"/>
              </w:rPr>
              <w:t>Low — shortlist and RFQ</w:t>
            </w:r>
          </w:p>
        </w:tc>
      </w:tr>
      <w:tr>
        <w:tc>
          <w:tcPr>
            <w:tcW w:type="dxa" w:w="3408"/>
            <w:vAlign w:val="center"/>
          </w:tcPr>
          <w:p>
            <w:r/>
            <w:r>
              <w:rPr>
                <w:b w:val="0"/>
                <w:color w:val="2B2B2B"/>
                <w:sz w:val="16"/>
              </w:rPr>
              <w:t>FX</w:t>
            </w:r>
          </w:p>
        </w:tc>
        <w:tc>
          <w:tcPr>
            <w:tcW w:type="dxa" w:w="3408"/>
            <w:vAlign w:val="center"/>
          </w:tcPr>
          <w:p>
            <w:r/>
            <w:r>
              <w:rPr>
                <w:b w:val="0"/>
                <w:color w:val="2B2B2B"/>
                <w:sz w:val="16"/>
              </w:rPr>
              <w:t>MMK 3,658/USD dated 2026-08-18 reference; not binding [6]</w:t>
            </w:r>
          </w:p>
        </w:tc>
        <w:tc>
          <w:tcPr>
            <w:tcW w:type="dxa" w:w="3408"/>
            <w:vAlign w:val="center"/>
          </w:tcPr>
          <w:p>
            <w:r/>
            <w:r>
              <w:rPr>
                <w:b w:val="0"/>
                <w:color w:val="2B2B2B"/>
                <w:sz w:val="16"/>
              </w:rPr>
              <w:t>Medium — recheck at PO</w:t>
            </w:r>
          </w:p>
        </w:tc>
      </w:tr>
      <w:tr>
        <w:tc>
          <w:tcPr>
            <w:tcW w:type="dxa" w:w="3408"/>
            <w:vAlign w:val="center"/>
          </w:tcPr>
          <w:p>
            <w:r/>
            <w:r>
              <w:rPr>
                <w:b w:val="0"/>
                <w:color w:val="2B2B2B"/>
                <w:sz w:val="16"/>
              </w:rPr>
              <w:t>Taxes / levies</w:t>
            </w:r>
          </w:p>
        </w:tc>
        <w:tc>
          <w:tcPr>
            <w:tcW w:type="dxa" w:w="3408"/>
            <w:vAlign w:val="center"/>
          </w:tcPr>
          <w:p>
            <w:r/>
            <w:r>
              <w:rPr>
                <w:b w:val="0"/>
                <w:color w:val="2B2B2B"/>
                <w:sz w:val="16"/>
              </w:rPr>
              <w:t>Not included until client entity and supplier invoices are known</w:t>
            </w:r>
          </w:p>
        </w:tc>
        <w:tc>
          <w:tcPr>
            <w:tcW w:type="dxa" w:w="3408"/>
            <w:vAlign w:val="center"/>
          </w:tcPr>
          <w:p>
            <w:r/>
            <w:r>
              <w:rPr>
                <w:b w:val="0"/>
                <w:color w:val="2B2B2B"/>
                <w:sz w:val="16"/>
              </w:rPr>
              <w:t>Low — finance validation</w:t>
            </w:r>
          </w:p>
        </w:tc>
      </w:tr>
      <w:tr>
        <w:tc>
          <w:tcPr>
            <w:tcW w:type="dxa" w:w="3408"/>
            <w:vAlign w:val="center"/>
          </w:tcPr>
          <w:p>
            <w:r/>
            <w:r>
              <w:rPr>
                <w:b w:val="0"/>
                <w:color w:val="2B2B2B"/>
                <w:sz w:val="16"/>
              </w:rPr>
              <w:t>Payment</w:t>
            </w:r>
          </w:p>
        </w:tc>
        <w:tc>
          <w:tcPr>
            <w:tcW w:type="dxa" w:w="3408"/>
            <w:vAlign w:val="center"/>
          </w:tcPr>
          <w:p>
            <w:r/>
            <w:r>
              <w:rPr>
                <w:b w:val="0"/>
                <w:color w:val="2B2B2B"/>
                <w:sz w:val="16"/>
              </w:rPr>
              <w:t>50% deposit at approval, 40% before live/launch, 10% on closeout; subject to contract</w:t>
            </w:r>
          </w:p>
        </w:tc>
        <w:tc>
          <w:tcPr>
            <w:tcW w:type="dxa" w:w="3408"/>
            <w:vAlign w:val="center"/>
          </w:tcPr>
          <w:p>
            <w:r/>
            <w:r>
              <w:rPr>
                <w:b w:val="0"/>
                <w:color w:val="2B2B2B"/>
                <w:sz w:val="16"/>
              </w:rPr>
              <w:t>Medium — client procurement review</w:t>
            </w:r>
          </w:p>
        </w:tc>
      </w:tr>
      <w:tr>
        <w:tc>
          <w:tcPr>
            <w:tcW w:type="dxa" w:w="3408"/>
            <w:vAlign w:val="center"/>
          </w:tcPr>
          <w:p>
            <w:r/>
            <w:r>
              <w:rPr>
                <w:b w:val="0"/>
                <w:color w:val="2B2B2B"/>
                <w:sz w:val="16"/>
              </w:rPr>
              <w:t>Exclusions</w:t>
            </w:r>
          </w:p>
        </w:tc>
        <w:tc>
          <w:tcPr>
            <w:tcW w:type="dxa" w:w="3408"/>
            <w:vAlign w:val="center"/>
          </w:tcPr>
          <w:p>
            <w:r/>
            <w:r>
              <w:rPr>
                <w:b w:val="0"/>
                <w:color w:val="2B2B2B"/>
                <w:sz w:val="16"/>
              </w:rPr>
              <w:t>Major travel, imported equipment, paid talent usage extensions, structural/fire certification, legal fees and post-scope changes</w:t>
            </w:r>
          </w:p>
        </w:tc>
        <w:tc>
          <w:tcPr>
            <w:tcW w:type="dxa" w:w="3408"/>
            <w:vAlign w:val="center"/>
          </w:tcPr>
          <w:p>
            <w:r/>
            <w:r>
              <w:rPr>
                <w:b w:val="0"/>
                <w:color w:val="2B2B2B"/>
                <w:sz w:val="16"/>
              </w:rPr>
              <w:t>High — confirm in SOW</w:t>
            </w:r>
          </w:p>
        </w:tc>
      </w:tr>
    </w:tbl>
    <w:p>
      <w:pPr>
        <w:spacing w:after="40"/>
      </w:pPr>
    </w:p>
    <w:p>
      <w:pPr>
        <w:spacing w:after="100" w:line="252" w:lineRule="auto"/>
      </w:pPr>
      <w:r>
        <w:t>Quotation-validation checklist: obtain two venue quotes; two production/fabrication quotes; current AV/lighting quote; talent availability and usage rights; platform media plan; transport/fuel estimate; permits/insurance; tax treatment; final client margin/revenue inputs; and a signed scope before procurement.</w:t>
      </w:r>
    </w:p>
    <w:p>
      <w:pPr>
        <w:spacing w:before="200" w:after="80"/>
      </w:pPr>
      <w:r>
        <w:rPr>
          <w:b/>
          <w:color w:val="12203A"/>
          <w:sz w:val="30"/>
        </w:rPr>
        <w:t>16. ROI model and break-even logic</w:t>
      </w:r>
    </w:p>
    <w:p>
      <w:pPr>
        <w:spacing w:after="100" w:line="252" w:lineRule="auto"/>
      </w:pPr>
      <w:r>
        <w:t>Primary commercial conversion: Qualified consultation or screening booking; secondary referral and follow-up attendance.. Planning value per conversion: MMK 1,800,000; assumed contribution margin: 30%. These are placeholders to be replaced by client data. Formula: contribution value = conversions × average value × contribution margin; projected ROI = (contribution value − total investment) ÷ total investment. No result is guaranteed.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203A"/>
          </w:tcPr>
          <w:p>
            <w:r/>
            <w:r>
              <w:rPr>
                <w:b/>
                <w:color w:val="FFFFFF"/>
                <w:sz w:val="16"/>
              </w:rPr>
              <w:t>Scenario</w:t>
            </w:r>
          </w:p>
        </w:tc>
        <w:tc>
          <w:tcPr>
            <w:tcW w:type="dxa" w:w="2045"/>
            <w:vAlign w:val="center"/>
            <w:shd w:fill="12203A"/>
          </w:tcPr>
          <w:p>
            <w:r/>
            <w:r>
              <w:rPr>
                <w:b/>
                <w:color w:val="FFFFFF"/>
                <w:sz w:val="16"/>
              </w:rPr>
              <w:t>Conversions</w:t>
            </w:r>
          </w:p>
        </w:tc>
        <w:tc>
          <w:tcPr>
            <w:tcW w:type="dxa" w:w="2045"/>
            <w:vAlign w:val="center"/>
            <w:shd w:fill="12203A"/>
          </w:tcPr>
          <w:p>
            <w:r/>
            <w:r>
              <w:rPr>
                <w:b/>
                <w:color w:val="FFFFFF"/>
                <w:sz w:val="16"/>
              </w:rPr>
              <w:t>Contribution value</w:t>
            </w:r>
          </w:p>
        </w:tc>
        <w:tc>
          <w:tcPr>
            <w:tcW w:type="dxa" w:w="2045"/>
            <w:vAlign w:val="center"/>
            <w:shd w:fill="12203A"/>
          </w:tcPr>
          <w:p>
            <w:r/>
            <w:r>
              <w:rPr>
                <w:b/>
                <w:color w:val="FFFFFF"/>
                <w:sz w:val="16"/>
              </w:rPr>
              <w:t>Projected ROI vs Recommended</w:t>
            </w:r>
          </w:p>
        </w:tc>
        <w:tc>
          <w:tcPr>
            <w:tcW w:type="dxa" w:w="2045"/>
            <w:vAlign w:val="center"/>
            <w:shd w:fill="12203A"/>
          </w:tcPr>
          <w:p>
            <w:r/>
            <w:r>
              <w:rPr>
                <w:b/>
                <w:color w:val="FFFFFF"/>
                <w:sz w:val="16"/>
              </w:rPr>
              <w:t>Interpretation</w:t>
            </w:r>
          </w:p>
        </w:tc>
      </w:tr>
      <w:tr>
        <w:tc>
          <w:tcPr>
            <w:tcW w:type="dxa" w:w="2045"/>
            <w:vAlign w:val="center"/>
          </w:tcPr>
          <w:p>
            <w:r/>
            <w:r>
              <w:rPr>
                <w:b w:val="0"/>
                <w:color w:val="2B2B2B"/>
                <w:sz w:val="16"/>
              </w:rPr>
              <w:t>Conservative</w:t>
            </w:r>
          </w:p>
        </w:tc>
        <w:tc>
          <w:tcPr>
            <w:tcW w:type="dxa" w:w="2045"/>
            <w:vAlign w:val="center"/>
          </w:tcPr>
          <w:p>
            <w:r/>
            <w:r>
              <w:rPr>
                <w:b w:val="0"/>
                <w:color w:val="2B2B2B"/>
                <w:sz w:val="16"/>
              </w:rPr>
              <w:t>152</w:t>
            </w:r>
          </w:p>
        </w:tc>
        <w:tc>
          <w:tcPr>
            <w:tcW w:type="dxa" w:w="2045"/>
            <w:vAlign w:val="center"/>
          </w:tcPr>
          <w:p>
            <w:r/>
            <w:r>
              <w:rPr>
                <w:b w:val="0"/>
                <w:color w:val="2B2B2B"/>
                <w:sz w:val="16"/>
              </w:rPr>
              <w:t>MMK 82,080,000</w:t>
            </w:r>
          </w:p>
        </w:tc>
        <w:tc>
          <w:tcPr>
            <w:tcW w:type="dxa" w:w="2045"/>
            <w:vAlign w:val="center"/>
          </w:tcPr>
          <w:p>
            <w:r/>
            <w:r>
              <w:rPr>
                <w:b w:val="0"/>
                <w:color w:val="2B2B2B"/>
                <w:sz w:val="16"/>
              </w:rPr>
              <w:t>0%</w:t>
            </w:r>
          </w:p>
        </w:tc>
        <w:tc>
          <w:tcPr>
            <w:tcW w:type="dxa" w:w="2045"/>
            <w:vAlign w:val="center"/>
          </w:tcPr>
          <w:p>
            <w:r/>
            <w:r>
              <w:rPr>
                <w:b w:val="0"/>
                <w:color w:val="2B2B2B"/>
                <w:sz w:val="16"/>
              </w:rPr>
              <w:t>Break-even planning case</w:t>
            </w:r>
          </w:p>
        </w:tc>
      </w:tr>
      <w:tr>
        <w:tc>
          <w:tcPr>
            <w:tcW w:type="dxa" w:w="2045"/>
            <w:vAlign w:val="center"/>
          </w:tcPr>
          <w:p>
            <w:r/>
            <w:r>
              <w:rPr>
                <w:b w:val="0"/>
                <w:color w:val="2B2B2B"/>
                <w:sz w:val="16"/>
              </w:rPr>
              <w:t>Base</w:t>
            </w:r>
          </w:p>
        </w:tc>
        <w:tc>
          <w:tcPr>
            <w:tcW w:type="dxa" w:w="2045"/>
            <w:vAlign w:val="center"/>
          </w:tcPr>
          <w:p>
            <w:r/>
            <w:r>
              <w:rPr>
                <w:b w:val="0"/>
                <w:color w:val="2B2B2B"/>
                <w:sz w:val="16"/>
              </w:rPr>
              <w:t>258</w:t>
            </w:r>
          </w:p>
        </w:tc>
        <w:tc>
          <w:tcPr>
            <w:tcW w:type="dxa" w:w="2045"/>
            <w:vAlign w:val="center"/>
          </w:tcPr>
          <w:p>
            <w:r/>
            <w:r>
              <w:rPr>
                <w:b w:val="0"/>
                <w:color w:val="2B2B2B"/>
                <w:sz w:val="16"/>
              </w:rPr>
              <w:t>MMK 139,320,000</w:t>
            </w:r>
          </w:p>
        </w:tc>
        <w:tc>
          <w:tcPr>
            <w:tcW w:type="dxa" w:w="2045"/>
            <w:vAlign w:val="center"/>
          </w:tcPr>
          <w:p>
            <w:r/>
            <w:r>
              <w:rPr>
                <w:b w:val="0"/>
                <w:color w:val="2B2B2B"/>
                <w:sz w:val="16"/>
              </w:rPr>
              <w:t>70%</w:t>
            </w:r>
          </w:p>
        </w:tc>
        <w:tc>
          <w:tcPr>
            <w:tcW w:type="dxa" w:w="2045"/>
            <w:vAlign w:val="center"/>
          </w:tcPr>
          <w:p>
            <w:r/>
            <w:r>
              <w:rPr>
                <w:b w:val="0"/>
                <w:color w:val="2B2B2B"/>
                <w:sz w:val="16"/>
              </w:rPr>
              <w:t>Replace with client baseline</w:t>
            </w:r>
          </w:p>
        </w:tc>
      </w:tr>
      <w:tr>
        <w:tc>
          <w:tcPr>
            <w:tcW w:type="dxa" w:w="2045"/>
            <w:vAlign w:val="center"/>
          </w:tcPr>
          <w:p>
            <w:r/>
            <w:r>
              <w:rPr>
                <w:b w:val="0"/>
                <w:color w:val="2B2B2B"/>
                <w:sz w:val="16"/>
              </w:rPr>
              <w:t>Upside</w:t>
            </w:r>
          </w:p>
        </w:tc>
        <w:tc>
          <w:tcPr>
            <w:tcW w:type="dxa" w:w="2045"/>
            <w:vAlign w:val="center"/>
          </w:tcPr>
          <w:p>
            <w:r/>
            <w:r>
              <w:rPr>
                <w:b w:val="0"/>
                <w:color w:val="2B2B2B"/>
                <w:sz w:val="16"/>
              </w:rPr>
              <w:t>304</w:t>
            </w:r>
          </w:p>
        </w:tc>
        <w:tc>
          <w:tcPr>
            <w:tcW w:type="dxa" w:w="2045"/>
            <w:vAlign w:val="center"/>
          </w:tcPr>
          <w:p>
            <w:r/>
            <w:r>
              <w:rPr>
                <w:b w:val="0"/>
                <w:color w:val="2B2B2B"/>
                <w:sz w:val="16"/>
              </w:rPr>
              <w:t>MMK 164,160,000</w:t>
            </w:r>
          </w:p>
        </w:tc>
        <w:tc>
          <w:tcPr>
            <w:tcW w:type="dxa" w:w="2045"/>
            <w:vAlign w:val="center"/>
          </w:tcPr>
          <w:p>
            <w:r/>
            <w:r>
              <w:rPr>
                <w:b w:val="0"/>
                <w:color w:val="2B2B2B"/>
                <w:sz w:val="16"/>
              </w:rPr>
              <w:t>100%</w:t>
            </w:r>
          </w:p>
        </w:tc>
        <w:tc>
          <w:tcPr>
            <w:tcW w:type="dxa" w:w="2045"/>
            <w:vAlign w:val="center"/>
          </w:tcPr>
          <w:p>
            <w:r/>
            <w:r>
              <w:rPr>
                <w:b w:val="0"/>
                <w:color w:val="2B2B2B"/>
                <w:sz w:val="16"/>
              </w:rPr>
              <w:t>Requires strong reach and sales follow-up</w:t>
            </w:r>
          </w:p>
        </w:tc>
      </w:tr>
    </w:tbl>
    <w:p>
      <w:pPr>
        <w:spacing w:after="40"/>
      </w:pPr>
    </w:p>
    <w:p>
      <w:pPr>
        <w:spacing w:after="100" w:line="252" w:lineRule="auto"/>
      </w:pPr>
      <w:r>
        <w:t>Break-even conversion volume at the Recommended package is approximately 152 conversions under the placeholder value/margin. Client inputs requested: average order/contract value, contribution margin, baseline conversion rate, sales-cycle length, repeat/referral value and CRM disposition rules.</w:t>
      </w:r>
    </w:p>
    <w:p>
      <w:pPr>
        <w:spacing w:before="200" w:after="80"/>
      </w:pPr>
      <w:r>
        <w:rPr>
          <w:b/>
          <w:color w:val="12203A"/>
          <w:sz w:val="30"/>
        </w:rPr>
        <w:t>17. KPI scorecard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2203A"/>
          </w:tcPr>
          <w:p>
            <w:r/>
            <w:r>
              <w:rPr>
                <w:b/>
                <w:color w:val="FFFFFF"/>
                <w:sz w:val="16"/>
              </w:rPr>
              <w:t>Dimension</w:t>
            </w:r>
          </w:p>
        </w:tc>
        <w:tc>
          <w:tcPr>
            <w:tcW w:type="dxa" w:w="3408"/>
            <w:vAlign w:val="center"/>
            <w:shd w:fill="12203A"/>
          </w:tcPr>
          <w:p>
            <w:r/>
            <w:r>
              <w:rPr>
                <w:b/>
                <w:color w:val="FFFFFF"/>
                <w:sz w:val="16"/>
              </w:rPr>
              <w:t>Target / measure</w:t>
            </w:r>
          </w:p>
        </w:tc>
        <w:tc>
          <w:tcPr>
            <w:tcW w:type="dxa" w:w="3408"/>
            <w:vAlign w:val="center"/>
            <w:shd w:fill="12203A"/>
          </w:tcPr>
          <w:p>
            <w:r/>
            <w:r>
              <w:rPr>
                <w:b/>
                <w:color w:val="FFFFFF"/>
                <w:sz w:val="16"/>
              </w:rPr>
              <w:t>Source</w:t>
            </w:r>
          </w:p>
        </w:tc>
      </w:tr>
      <w:tr>
        <w:tc>
          <w:tcPr>
            <w:tcW w:type="dxa" w:w="3408"/>
            <w:vAlign w:val="center"/>
          </w:tcPr>
          <w:p>
            <w:r/>
            <w:r>
              <w:rPr>
                <w:b w:val="0"/>
                <w:color w:val="2B2B2B"/>
                <w:sz w:val="16"/>
              </w:rPr>
              <w:t>Awareness</w:t>
            </w:r>
          </w:p>
        </w:tc>
        <w:tc>
          <w:tcPr>
            <w:tcW w:type="dxa" w:w="3408"/>
            <w:vAlign w:val="center"/>
          </w:tcPr>
          <w:p>
            <w:r/>
            <w:r>
              <w:rPr>
                <w:b w:val="0"/>
                <w:color w:val="2B2B2B"/>
                <w:sz w:val="16"/>
              </w:rPr>
              <w:t>Reach, frequency, video completion, branded search proxy</w:t>
            </w:r>
          </w:p>
        </w:tc>
        <w:tc>
          <w:tcPr>
            <w:tcW w:type="dxa" w:w="3408"/>
            <w:vAlign w:val="center"/>
          </w:tcPr>
          <w:p>
            <w:r/>
            <w:r>
              <w:rPr>
                <w:b w:val="0"/>
                <w:color w:val="2B2B2B"/>
                <w:sz w:val="16"/>
              </w:rPr>
              <w:t>Platform and search data</w:t>
            </w:r>
          </w:p>
        </w:tc>
      </w:tr>
      <w:tr>
        <w:tc>
          <w:tcPr>
            <w:tcW w:type="dxa" w:w="3408"/>
            <w:vAlign w:val="center"/>
          </w:tcPr>
          <w:p>
            <w:r/>
            <w:r>
              <w:rPr>
                <w:b w:val="0"/>
                <w:color w:val="2B2B2B"/>
                <w:sz w:val="16"/>
              </w:rPr>
              <w:t>Engagement</w:t>
            </w:r>
          </w:p>
        </w:tc>
        <w:tc>
          <w:tcPr>
            <w:tcW w:type="dxa" w:w="3408"/>
            <w:vAlign w:val="center"/>
          </w:tcPr>
          <w:p>
            <w:r/>
            <w:r>
              <w:rPr>
                <w:b w:val="0"/>
                <w:color w:val="2B2B2B"/>
                <w:sz w:val="16"/>
              </w:rPr>
              <w:t>Saves, replies, diagnostic starts, content completion</w:t>
            </w:r>
          </w:p>
        </w:tc>
        <w:tc>
          <w:tcPr>
            <w:tcW w:type="dxa" w:w="3408"/>
            <w:vAlign w:val="center"/>
          </w:tcPr>
          <w:p>
            <w:r/>
            <w:r>
              <w:rPr>
                <w:b w:val="0"/>
                <w:color w:val="2B2B2B"/>
                <w:sz w:val="16"/>
              </w:rPr>
              <w:t>Platform / form analytics</w:t>
            </w:r>
          </w:p>
        </w:tc>
      </w:tr>
      <w:tr>
        <w:tc>
          <w:tcPr>
            <w:tcW w:type="dxa" w:w="3408"/>
            <w:vAlign w:val="center"/>
          </w:tcPr>
          <w:p>
            <w:r/>
            <w:r>
              <w:rPr>
                <w:b w:val="0"/>
                <w:color w:val="2B2B2B"/>
                <w:sz w:val="16"/>
              </w:rPr>
              <w:t>Attendance / reach</w:t>
            </w:r>
          </w:p>
        </w:tc>
        <w:tc>
          <w:tcPr>
            <w:tcW w:type="dxa" w:w="3408"/>
            <w:vAlign w:val="center"/>
          </w:tcPr>
          <w:p>
            <w:r/>
            <w:r>
              <w:rPr>
                <w:b w:val="0"/>
                <w:color w:val="2B2B2B"/>
                <w:sz w:val="16"/>
              </w:rPr>
              <w:t>Booked, attended, journey-step completion</w:t>
            </w:r>
          </w:p>
        </w:tc>
        <w:tc>
          <w:tcPr>
            <w:tcW w:type="dxa" w:w="3408"/>
            <w:vAlign w:val="center"/>
          </w:tcPr>
          <w:p>
            <w:r/>
            <w:r>
              <w:rPr>
                <w:b w:val="0"/>
                <w:color w:val="2B2B2B"/>
                <w:sz w:val="16"/>
              </w:rPr>
              <w:t>Registration / event log</w:t>
            </w:r>
          </w:p>
        </w:tc>
      </w:tr>
      <w:tr>
        <w:tc>
          <w:tcPr>
            <w:tcW w:type="dxa" w:w="3408"/>
            <w:vAlign w:val="center"/>
          </w:tcPr>
          <w:p>
            <w:r/>
            <w:r>
              <w:rPr>
                <w:b w:val="0"/>
                <w:color w:val="2B2B2B"/>
                <w:sz w:val="16"/>
              </w:rPr>
              <w:t>Lead quality</w:t>
            </w:r>
          </w:p>
        </w:tc>
        <w:tc>
          <w:tcPr>
            <w:tcW w:type="dxa" w:w="3408"/>
            <w:vAlign w:val="center"/>
          </w:tcPr>
          <w:p>
            <w:r/>
            <w:r>
              <w:rPr>
                <w:b w:val="0"/>
                <w:color w:val="2B2B2B"/>
                <w:sz w:val="16"/>
              </w:rPr>
              <w:t>Qualified rate, source code, response time</w:t>
            </w:r>
          </w:p>
        </w:tc>
        <w:tc>
          <w:tcPr>
            <w:tcW w:type="dxa" w:w="3408"/>
            <w:vAlign w:val="center"/>
          </w:tcPr>
          <w:p>
            <w:r/>
            <w:r>
              <w:rPr>
                <w:b w:val="0"/>
                <w:color w:val="2B2B2B"/>
                <w:sz w:val="16"/>
              </w:rPr>
              <w:t>CRM / sales</w:t>
            </w:r>
          </w:p>
        </w:tc>
      </w:tr>
      <w:tr>
        <w:tc>
          <w:tcPr>
            <w:tcW w:type="dxa" w:w="3408"/>
            <w:vAlign w:val="center"/>
          </w:tcPr>
          <w:p>
            <w:r/>
            <w:r>
              <w:rPr>
                <w:b w:val="0"/>
                <w:color w:val="2B2B2B"/>
                <w:sz w:val="16"/>
              </w:rPr>
              <w:t>Conversion / revenue</w:t>
            </w:r>
          </w:p>
        </w:tc>
        <w:tc>
          <w:tcPr>
            <w:tcW w:type="dxa" w:w="3408"/>
            <w:vAlign w:val="center"/>
          </w:tcPr>
          <w:p>
            <w:r/>
            <w:r>
              <w:rPr>
                <w:b w:val="0"/>
                <w:color w:val="2B2B2B"/>
                <w:sz w:val="16"/>
              </w:rPr>
              <w:t>Booked, applied, reserved, purchased, attributed contribution</w:t>
            </w:r>
          </w:p>
        </w:tc>
        <w:tc>
          <w:tcPr>
            <w:tcW w:type="dxa" w:w="3408"/>
            <w:vAlign w:val="center"/>
          </w:tcPr>
          <w:p>
            <w:r/>
            <w:r>
              <w:rPr>
                <w:b w:val="0"/>
                <w:color w:val="2B2B2B"/>
                <w:sz w:val="16"/>
              </w:rPr>
              <w:t>Client CRM / finance</w:t>
            </w:r>
          </w:p>
        </w:tc>
      </w:tr>
      <w:tr>
        <w:tc>
          <w:tcPr>
            <w:tcW w:type="dxa" w:w="3408"/>
            <w:vAlign w:val="center"/>
          </w:tcPr>
          <w:p>
            <w:r/>
            <w:r>
              <w:rPr>
                <w:b w:val="0"/>
                <w:color w:val="2B2B2B"/>
                <w:sz w:val="16"/>
              </w:rPr>
              <w:t>Retention / advocacy</w:t>
            </w:r>
          </w:p>
        </w:tc>
        <w:tc>
          <w:tcPr>
            <w:tcW w:type="dxa" w:w="3408"/>
            <w:vAlign w:val="center"/>
          </w:tcPr>
          <w:p>
            <w:r/>
            <w:r>
              <w:rPr>
                <w:b w:val="0"/>
                <w:color w:val="2B2B2B"/>
                <w:sz w:val="16"/>
              </w:rPr>
              <w:t>Repeat, review, referral, recurring contribution</w:t>
            </w:r>
          </w:p>
        </w:tc>
        <w:tc>
          <w:tcPr>
            <w:tcW w:type="dxa" w:w="3408"/>
            <w:vAlign w:val="center"/>
          </w:tcPr>
          <w:p>
            <w:r/>
            <w:r>
              <w:rPr>
                <w:b w:val="0"/>
                <w:color w:val="2B2B2B"/>
                <w:sz w:val="16"/>
              </w:rPr>
              <w:t>CRM / review platform</w:t>
            </w:r>
          </w:p>
        </w:tc>
      </w:tr>
      <w:tr>
        <w:tc>
          <w:tcPr>
            <w:tcW w:type="dxa" w:w="3408"/>
            <w:vAlign w:val="center"/>
          </w:tcPr>
          <w:p>
            <w:r/>
            <w:r>
              <w:rPr>
                <w:b w:val="0"/>
                <w:color w:val="2B2B2B"/>
                <w:sz w:val="16"/>
              </w:rPr>
              <w:t>Media efficiency</w:t>
            </w:r>
          </w:p>
        </w:tc>
        <w:tc>
          <w:tcPr>
            <w:tcW w:type="dxa" w:w="3408"/>
            <w:vAlign w:val="center"/>
          </w:tcPr>
          <w:p>
            <w:r/>
            <w:r>
              <w:rPr>
                <w:b w:val="0"/>
                <w:color w:val="2B2B2B"/>
                <w:sz w:val="16"/>
              </w:rPr>
              <w:t>CPM, CPC, CPL/CPA, frequency</w:t>
            </w:r>
          </w:p>
        </w:tc>
        <w:tc>
          <w:tcPr>
            <w:tcW w:type="dxa" w:w="3408"/>
            <w:vAlign w:val="center"/>
          </w:tcPr>
          <w:p>
            <w:r/>
            <w:r>
              <w:rPr>
                <w:b w:val="0"/>
                <w:color w:val="2B2B2B"/>
                <w:sz w:val="16"/>
              </w:rPr>
              <w:t>Platform exports</w:t>
            </w:r>
          </w:p>
        </w:tc>
      </w:tr>
      <w:tr>
        <w:tc>
          <w:tcPr>
            <w:tcW w:type="dxa" w:w="3408"/>
            <w:vAlign w:val="center"/>
          </w:tcPr>
          <w:p>
            <w:r/>
            <w:r>
              <w:rPr>
                <w:b w:val="0"/>
                <w:color w:val="2B2B2B"/>
                <w:sz w:val="16"/>
              </w:rPr>
              <w:t>Operational quality</w:t>
            </w:r>
          </w:p>
        </w:tc>
        <w:tc>
          <w:tcPr>
            <w:tcW w:type="dxa" w:w="3408"/>
            <w:vAlign w:val="center"/>
          </w:tcPr>
          <w:p>
            <w:r/>
            <w:r>
              <w:rPr>
                <w:b w:val="0"/>
                <w:color w:val="2B2B2B"/>
                <w:sz w:val="16"/>
              </w:rPr>
              <w:t>On-time, incident-free, accessibility and safety compliance</w:t>
            </w:r>
          </w:p>
        </w:tc>
        <w:tc>
          <w:tcPr>
            <w:tcW w:type="dxa" w:w="3408"/>
            <w:vAlign w:val="center"/>
          </w:tcPr>
          <w:p>
            <w:r/>
            <w:r>
              <w:rPr>
                <w:b w:val="0"/>
                <w:color w:val="2B2B2B"/>
                <w:sz w:val="16"/>
              </w:rPr>
              <w:t>Run sheet / incident log</w:t>
            </w:r>
          </w:p>
        </w:tc>
      </w:tr>
    </w:tbl>
    <w:p>
      <w:pPr>
        <w:spacing w:after="40"/>
      </w:pPr>
    </w:p>
    <w:p>
      <w:pPr>
        <w:spacing w:before="200" w:after="80"/>
      </w:pPr>
      <w:r>
        <w:rPr>
          <w:b/>
          <w:color w:val="12203A"/>
          <w:sz w:val="30"/>
        </w:rPr>
        <w:t>18. Expected client benefits and why ZYNTH</w:t>
      </w:r>
    </w:p>
    <w:p>
      <w:pPr>
        <w:spacing w:after="100" w:line="252" w:lineRule="auto"/>
      </w:pPr>
      <w:r>
        <w:t>The expected benefit is not merely attention. The system gives Private hospital, clinic network or diagnostic provider a clearer proof asset, a consented signal of intent, a routed next action and a measurable learning loop. ZYNTH is the right partner when the client needs strategy, creative, production, distribution and measurement connected in one operating rhythm: “The Intelligence of Creativity.”</w:t>
      </w:r>
    </w:p>
    <w:p>
      <w:pPr>
        <w:spacing w:before="200" w:after="80"/>
      </w:pPr>
      <w:r>
        <w:rPr>
          <w:b/>
          <w:color w:val="12203A"/>
          <w:sz w:val="30"/>
        </w:rPr>
        <w:t>19. Implementation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Period</w:t>
            </w:r>
          </w:p>
        </w:tc>
        <w:tc>
          <w:tcPr>
            <w:tcW w:type="dxa" w:w="5112"/>
            <w:vAlign w:val="center"/>
            <w:shd w:fill="12203A"/>
          </w:tcPr>
          <w:p>
            <w:r/>
            <w:r>
              <w:rPr>
                <w:b/>
                <w:color w:val="FFFFFF"/>
                <w:sz w:val="16"/>
              </w:rPr>
              <w:t>Milestone</w:t>
            </w:r>
          </w:p>
        </w:tc>
      </w:tr>
      <w:tr>
        <w:tc>
          <w:tcPr>
            <w:tcW w:type="dxa" w:w="5112"/>
            <w:vAlign w:val="center"/>
          </w:tcPr>
          <w:p>
            <w:r/>
            <w:r>
              <w:rPr>
                <w:b w:val="0"/>
                <w:color w:val="2B2B2B"/>
                <w:sz w:val="16"/>
              </w:rPr>
              <w:t>Days 1–7</w:t>
            </w:r>
          </w:p>
        </w:tc>
        <w:tc>
          <w:tcPr>
            <w:tcW w:type="dxa" w:w="5112"/>
            <w:vAlign w:val="center"/>
          </w:tcPr>
          <w:p>
            <w:r/>
            <w:r>
              <w:rPr>
                <w:b w:val="0"/>
                <w:color w:val="2B2B2B"/>
                <w:sz w:val="16"/>
              </w:rPr>
              <w:t>Discovery, source validation, client baseline, venue/supplier RFQ</w:t>
            </w:r>
          </w:p>
        </w:tc>
      </w:tr>
      <w:tr>
        <w:tc>
          <w:tcPr>
            <w:tcW w:type="dxa" w:w="5112"/>
            <w:vAlign w:val="center"/>
          </w:tcPr>
          <w:p>
            <w:r/>
            <w:r>
              <w:rPr>
                <w:b w:val="0"/>
                <w:color w:val="2B2B2B"/>
                <w:sz w:val="16"/>
              </w:rPr>
              <w:t>Days 8–21</w:t>
            </w:r>
          </w:p>
        </w:tc>
        <w:tc>
          <w:tcPr>
            <w:tcW w:type="dxa" w:w="5112"/>
            <w:vAlign w:val="center"/>
          </w:tcPr>
          <w:p>
            <w:r/>
            <w:r>
              <w:rPr>
                <w:b w:val="0"/>
                <w:color w:val="2B2B2B"/>
                <w:sz w:val="16"/>
              </w:rPr>
              <w:t>Concept approval, design route, content plan, CRM and measurement setup</w:t>
            </w:r>
          </w:p>
        </w:tc>
      </w:tr>
      <w:tr>
        <w:tc>
          <w:tcPr>
            <w:tcW w:type="dxa" w:w="5112"/>
            <w:vAlign w:val="center"/>
          </w:tcPr>
          <w:p>
            <w:r/>
            <w:r>
              <w:rPr>
                <w:b w:val="0"/>
                <w:color w:val="2B2B2B"/>
                <w:sz w:val="16"/>
              </w:rPr>
              <w:t>Days 22–45</w:t>
            </w:r>
          </w:p>
        </w:tc>
        <w:tc>
          <w:tcPr>
            <w:tcW w:type="dxa" w:w="5112"/>
            <w:vAlign w:val="center"/>
          </w:tcPr>
          <w:p>
            <w:r/>
            <w:r>
              <w:rPr>
                <w:b w:val="0"/>
                <w:color w:val="2B2B2B"/>
                <w:sz w:val="16"/>
              </w:rPr>
              <w:t>Production, talent lock, media launch, rehearsal / QA</w:t>
            </w:r>
          </w:p>
        </w:tc>
      </w:tr>
      <w:tr>
        <w:tc>
          <w:tcPr>
            <w:tcW w:type="dxa" w:w="5112"/>
            <w:vAlign w:val="center"/>
          </w:tcPr>
          <w:p>
            <w:r/>
            <w:r>
              <w:rPr>
                <w:b w:val="0"/>
                <w:color w:val="2B2B2B"/>
                <w:sz w:val="16"/>
              </w:rPr>
              <w:t>Days 46–60</w:t>
            </w:r>
          </w:p>
        </w:tc>
        <w:tc>
          <w:tcPr>
            <w:tcW w:type="dxa" w:w="5112"/>
            <w:vAlign w:val="center"/>
          </w:tcPr>
          <w:p>
            <w:r/>
            <w:r>
              <w:rPr>
                <w:b w:val="0"/>
                <w:color w:val="2B2B2B"/>
                <w:sz w:val="16"/>
              </w:rPr>
              <w:t>Live execution or campaign optimisation, daily/weekly readouts</w:t>
            </w:r>
          </w:p>
        </w:tc>
      </w:tr>
      <w:tr>
        <w:tc>
          <w:tcPr>
            <w:tcW w:type="dxa" w:w="5112"/>
            <w:vAlign w:val="center"/>
          </w:tcPr>
          <w:p>
            <w:r/>
            <w:r>
              <w:rPr>
                <w:b w:val="0"/>
                <w:color w:val="2B2B2B"/>
                <w:sz w:val="16"/>
              </w:rPr>
              <w:t>Days 61–90</w:t>
            </w:r>
          </w:p>
        </w:tc>
        <w:tc>
          <w:tcPr>
            <w:tcW w:type="dxa" w:w="5112"/>
            <w:vAlign w:val="center"/>
          </w:tcPr>
          <w:p>
            <w:r/>
            <w:r>
              <w:rPr>
                <w:b w:val="0"/>
                <w:color w:val="2B2B2B"/>
                <w:sz w:val="16"/>
              </w:rPr>
              <w:t>Nurture, referral/review, case study, ROI/KPI closeout and next-quarter recommendation</w:t>
            </w:r>
          </w:p>
        </w:tc>
      </w:tr>
    </w:tbl>
    <w:p>
      <w:pPr>
        <w:spacing w:after="40"/>
      </w:pPr>
    </w:p>
    <w:p>
      <w:pPr>
        <w:spacing w:before="200" w:after="80"/>
      </w:pPr>
      <w:r>
        <w:rPr>
          <w:b/>
          <w:color w:val="12203A"/>
          <w:sz w:val="30"/>
        </w:rPr>
        <w:t>20. Risks, mitigations, compliance and decision requests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203A"/>
          </w:tcPr>
          <w:p>
            <w:r/>
            <w:r>
              <w:rPr>
                <w:b/>
                <w:color w:val="FFFFFF"/>
                <w:sz w:val="16"/>
              </w:rPr>
              <w:t>Risk / compliance</w:t>
            </w:r>
          </w:p>
        </w:tc>
        <w:tc>
          <w:tcPr>
            <w:tcW w:type="dxa" w:w="5112"/>
            <w:vAlign w:val="center"/>
            <w:shd w:fill="12203A"/>
          </w:tcPr>
          <w:p>
            <w:r/>
            <w:r>
              <w:rPr>
                <w:b/>
                <w:color w:val="FFFFFF"/>
                <w:sz w:val="16"/>
              </w:rPr>
              <w:t>Mitigation</w:t>
            </w:r>
          </w:p>
        </w:tc>
      </w:tr>
      <w:tr>
        <w:tc>
          <w:tcPr>
            <w:tcW w:type="dxa" w:w="5112"/>
            <w:vAlign w:val="center"/>
          </w:tcPr>
          <w:p>
            <w:r/>
            <w:r>
              <w:rPr>
                <w:b w:val="0"/>
                <w:color w:val="2B2B2B"/>
                <w:sz w:val="16"/>
              </w:rPr>
              <w:t>Clinical claims, consent, privacy, medical emergency, licensing/venue permissions.</w:t>
            </w:r>
          </w:p>
        </w:tc>
        <w:tc>
          <w:tcPr>
            <w:tcW w:type="dxa" w:w="5112"/>
            <w:vAlign w:val="center"/>
          </w:tcPr>
          <w:p>
            <w:r/>
            <w:r>
              <w:rPr>
                <w:b w:val="0"/>
                <w:color w:val="2B2B2B"/>
                <w:sz w:val="16"/>
              </w:rPr>
              <w:t>Named owner, written approval, backup route and contingency reserve.</w:t>
            </w:r>
          </w:p>
        </w:tc>
      </w:tr>
      <w:tr>
        <w:tc>
          <w:tcPr>
            <w:tcW w:type="dxa" w:w="5112"/>
            <w:vAlign w:val="center"/>
          </w:tcPr>
          <w:p>
            <w:r/>
            <w:r>
              <w:rPr>
                <w:b w:val="0"/>
                <w:color w:val="2B2B2B"/>
                <w:sz w:val="16"/>
              </w:rPr>
              <w:t>Platform / data privacy</w:t>
            </w:r>
          </w:p>
        </w:tc>
        <w:tc>
          <w:tcPr>
            <w:tcW w:type="dxa" w:w="5112"/>
            <w:vAlign w:val="center"/>
          </w:tcPr>
          <w:p>
            <w:r/>
            <w:r>
              <w:rPr>
                <w:b w:val="0"/>
                <w:color w:val="2B2B2B"/>
                <w:sz w:val="16"/>
              </w:rPr>
              <w:t>Consent-based capture, source-code governance, access limits and no private-profile collection.</w:t>
            </w:r>
          </w:p>
        </w:tc>
      </w:tr>
      <w:tr>
        <w:tc>
          <w:tcPr>
            <w:tcW w:type="dxa" w:w="5112"/>
            <w:vAlign w:val="center"/>
          </w:tcPr>
          <w:p>
            <w:r/>
            <w:r>
              <w:rPr>
                <w:b w:val="0"/>
                <w:color w:val="2B2B2B"/>
                <w:sz w:val="16"/>
              </w:rPr>
              <w:t>Venue / safety</w:t>
            </w:r>
          </w:p>
        </w:tc>
        <w:tc>
          <w:tcPr>
            <w:tcW w:type="dxa" w:w="5112"/>
            <w:vAlign w:val="center"/>
          </w:tcPr>
          <w:p>
            <w:r/>
            <w:r>
              <w:rPr>
                <w:b w:val="0"/>
                <w:color w:val="2B2B2B"/>
                <w:sz w:val="16"/>
              </w:rPr>
              <w:t>Venue walk-through, egress preserved, fire/electrical/structural review and incident plan.</w:t>
            </w:r>
          </w:p>
        </w:tc>
      </w:tr>
      <w:tr>
        <w:tc>
          <w:tcPr>
            <w:tcW w:type="dxa" w:w="5112"/>
            <w:vAlign w:val="center"/>
          </w:tcPr>
          <w:p>
            <w:r/>
            <w:r>
              <w:rPr>
                <w:b w:val="0"/>
                <w:color w:val="2B2B2B"/>
                <w:sz w:val="16"/>
              </w:rPr>
              <w:t>Claims / talent</w:t>
            </w:r>
          </w:p>
        </w:tc>
        <w:tc>
          <w:tcPr>
            <w:tcW w:type="dxa" w:w="5112"/>
            <w:vAlign w:val="center"/>
          </w:tcPr>
          <w:p>
            <w:r/>
            <w:r>
              <w:rPr>
                <w:b w:val="0"/>
                <w:color w:val="2B2B2B"/>
                <w:sz w:val="16"/>
              </w:rPr>
              <w:t>Client legal approval, evidence file, disclosure and usage-rights schedule.</w:t>
            </w:r>
          </w:p>
        </w:tc>
      </w:tr>
      <w:tr>
        <w:tc>
          <w:tcPr>
            <w:tcW w:type="dxa" w:w="5112"/>
            <w:vAlign w:val="center"/>
          </w:tcPr>
          <w:p>
            <w:r/>
            <w:r>
              <w:rPr>
                <w:b w:val="0"/>
                <w:color w:val="2B2B2B"/>
                <w:sz w:val="16"/>
              </w:rPr>
              <w:t>Decision requested</w:t>
            </w:r>
          </w:p>
        </w:tc>
        <w:tc>
          <w:tcPr>
            <w:tcW w:type="dxa" w:w="5112"/>
            <w:vAlign w:val="center"/>
          </w:tcPr>
          <w:p>
            <w:r/>
            <w:r>
              <w:rPr>
                <w:b w:val="0"/>
                <w:color w:val="2B2B2B"/>
                <w:sz w:val="16"/>
              </w:rPr>
              <w:t>Approve Recommended package, nominate client decision owner and CRM/sales owner, release baseline data, and schedule a 60-minute kickoff within 5 business days.</w:t>
            </w:r>
          </w:p>
        </w:tc>
      </w:tr>
    </w:tbl>
    <w:p>
      <w:pPr>
        <w:spacing w:after="40"/>
      </w:pPr>
    </w:p>
    <w:p>
      <w:pPr>
        <w:spacing w:before="200" w:after="80"/>
      </w:pPr>
      <w:r>
        <w:rPr>
          <w:b/>
          <w:color w:val="12203A"/>
          <w:sz w:val="30"/>
        </w:rPr>
        <w:t>21. Why this wins</w:t>
      </w:r>
    </w:p>
    <w:p>
      <w:pPr>
        <w:spacing w:after="100" w:line="252" w:lineRule="auto"/>
      </w:pPr>
      <w:r>
        <w:t>This proposal wins on a category contrast: instead of asking the audience to believe a generic claim, it gives them a small, relevant proof moment and a clear next action. The opportunity map is: tension → proof → consent → handoff → nurture. The creative territory is distinctive because the question card: anonymous questions answered in plain burmese. and care map: symptom-to-service visual navigation, not diagnosis. are designed around the category’s real friction rather than a generic event theme.</w:t>
      </w:r>
    </w:p>
    <w:p>
      <w:pPr>
        <w:spacing w:before="200" w:after="80"/>
      </w:pPr>
      <w:r>
        <w:rPr>
          <w:b/>
          <w:color w:val="12203A"/>
          <w:sz w:val="30"/>
        </w:rPr>
        <w:t>22. Sources and references</w:t>
      </w:r>
    </w:p>
    <w:p>
      <w:pPr>
        <w:spacing w:after="100" w:line="252" w:lineRule="auto"/>
      </w:pPr>
      <w:r>
        <w:t>[1] Myanmar Economic Monitor, June 2026: Shock Amid Fragility — https://reliefweb.int/report/myanmar/myanmar-economic-monitor-june-2026-shock-amid-fragility-enmy (published/accessed 2026-06-16). Supports: Macro conditions, fuel shock, inflation, weak demand, operating uncertainty.</w:t>
      </w:r>
    </w:p>
    <w:p>
      <w:pPr>
        <w:spacing w:after="100" w:line="252" w:lineRule="auto"/>
      </w:pPr>
      <w:r>
        <w:t>[2] Digital 2026: Myanmar — https://datareportal.com/reports/digital-2026-myanmar (published/accessed 2025-11-08). Supports: Internet, mobile and social-media planning context; late-2025 data used for 2026 planning.</w:t>
      </w:r>
    </w:p>
    <w:p>
      <w:pPr>
        <w:spacing w:after="100" w:line="252" w:lineRule="auto"/>
      </w:pPr>
      <w:r>
        <w:t>[5] Myanmar Advertising Costs 2026: Facebook, Google, TikTok Rate Card — https://marketingmyanmar.com/myanmar-advertising-costs-2026-facebook-google-tiktok-rate-card/ (published/accessed 2026-03-20). Supports: Indicative Myanmar digital media ranges, explicitly proxy-based where platform data is unavailable.</w:t>
      </w:r>
    </w:p>
    <w:p>
      <w:pPr>
        <w:spacing w:after="100" w:line="252" w:lineRule="auto"/>
      </w:pPr>
      <w:r>
        <w:t>[8] ZYNTH internal planning knowledge — Myanmar event landscape — https://github.com/zanezynthbrain/zynth-brain/blob/main/backend/knowledge/22_myanmar_event_landscape.md (published/accessed accessed 2026-08-20). Supports: Internal planning ranges and venue/vendor starting points; all require RFQ validation.</w:t>
      </w:r>
    </w:p>
    <w:p>
      <w:pPr>
        <w:spacing w:after="100" w:line="252" w:lineRule="auto"/>
      </w:pPr>
      <w:r>
        <w:t>[9] ZYNTH internal planning knowledge — pricing and standards — https://github.com/zanezynthbrain/zynth-brain/blob/main/backend/knowledge/09_pricing_and_standards.md (published/accessed accessed 2026-08-20). Supports: Agency fee models, deposit convention, contingency and service standards; not supplier quotes.</w:t>
      </w:r>
    </w:p>
    <w:p>
      <w:r>
        <w:br w:type="page"/>
      </w:r>
    </w:p>
    <w:p>
      <w:pPr>
        <w:spacing w:before="200" w:after="80"/>
      </w:pPr>
      <w:r>
        <w:rPr>
          <w:b/>
          <w:color w:val="12203A"/>
          <w:sz w:val="30"/>
        </w:rPr>
        <w:t>Final action page</w:t>
      </w:r>
    </w:p>
    <w:p>
      <w:pPr>
        <w:spacing w:after="100" w:line="252" w:lineRule="auto"/>
      </w:pPr>
      <w:r>
        <w:t>Recommended decision: approve the Recommended package as a working ceiling, subject to RFQ. First milestone: discovery and quotation-validation workshop. Information needed from client: revenue/margin baseline, CRM fields, target geography, product truth, legal constraints, venue/site access and decision owners. Next meeting objective: lock the single conversion, proof moment and procurement timetable.</w:t>
      </w:r>
    </w:p>
    <w:p>
      <w:pPr>
        <w:spacing w:after="100" w:line="252" w:lineRule="auto"/>
      </w:pPr>
      <w:r>
        <w:t>Disclaimer: This is a planning document, not a supplier quotation, financial guarantee, legal opinion, permit approval or promise of outcome. All pricing and ROI are indicative until current local quotations, client data, platform availability and relevant approvals are validated.</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B88A2A"/>
        <w:sz w:val="16"/>
      </w:rPr>
      <w:t>ZYNTH  ·  THE INTELLIGENCE OF CREATIVITY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