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The Check-In That Counts</w:t>
      </w:r>
    </w:p>
    <w:p>
      <w:pPr>
        <w:spacing w:after="100" w:line="252" w:lineRule="auto"/>
      </w:pPr>
      <w:r>
        <w:t>Hospitality · Myanmar commercial context · Creator-led content series + hotel micro-experience + CRM reactivation</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Yangon upper-midscale hotel group faces a specific commercial tension: In a pressured market, a room sale is easy to postpone; hospitality brands need to make a Yangon stay feel like a useful, emotionally restorative choice rather than a discretionary luxury. The opportunity is to change one behaviour — guests unlock a “local proof” itinerary by completing three small discovery moments and sharing a verified stay intent. — so that the audience moves from passive interest to a measurable qualified booking enquiry or direct booking with a trackable stay code..</w:t>
      </w:r>
    </w:p>
    <w:p>
      <w:pPr>
        <w:spacing w:after="100" w:line="252" w:lineRule="auto"/>
      </w:pPr>
      <w:r>
        <w:t>The proposed platform is **The Check-In That Counts**. Its promise is: “A better stay begins before the room key.” The architecture combines creator-led content series + hotel micro-experience + crm reactivation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95,000,000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Qualified booking enquiry or direct booking with a trackable stay code.</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hospitality, the commercial opportunity is to reduce one form of hesitation: in a pressured market, a room sale is easy to postpone.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People trust a stay more when it gives them a story they can carry into the next week: a place, a taste, and a human recommendation.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Yangon upper-midscale hotel group the easiest credible next step for the audience’s current need. The single behaviour change is: Guests unlock a “local proof” itinerary by completing three small discovery moments and sharing a verified stay intent..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Yangon professionals, domestic weekenders, visiting business travellers, and local creators aged 25–45.</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**The Check-In That Counts** turns the category’s abstract promise into a tangible proof moment. Promise: “A better stay begins before the room key.”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The Key Wall: a physical map of micro-itineraries.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The Five-Minute Host: staff share one useful local ritual.</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Sunset Proof Booth: creator-led vertical video with Burmese/English captions.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48-hour “Your stay starts now” CRM message with bookable itinerary.</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One-day lobby discovery lab with four zones and creator capture.; the distribution layer is Facebook, TikTok, Instagram Reels, Google Search, hotel CRM, OTA listing refresh, creator whitelisting.; the conversion layer is Qualified booking enquiry or direct booking with a trackable stay code..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Partner hotel lobby / rooftop, Yangon; final venue TBC. Production direction: Soft hospitality palette, modular timber and brass, 18m x 10m footprint, 1.2m accessible circulation, low-volume sound, no pyrotechnics..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the_check_in_that_counts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the_check_in_that_counts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1 MC/host, 4 local lifestyle creators TBC, 2 hotel hosts, no performers.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4,400,000</w:t>
            </w:r>
          </w:p>
        </w:tc>
        <w:tc>
          <w:tcPr>
            <w:tcW w:type="dxa" w:w="1461"/>
            <w:vAlign w:val="center"/>
          </w:tcPr>
          <w:p>
            <w:r/>
            <w:r>
              <w:rPr>
                <w:b w:val="0"/>
                <w:color w:val="2B2B2B"/>
                <w:sz w:val="16"/>
              </w:rPr>
              <w:t>7,600,000</w:t>
            </w:r>
          </w:p>
        </w:tc>
        <w:tc>
          <w:tcPr>
            <w:tcW w:type="dxa" w:w="1461"/>
            <w:vAlign w:val="center"/>
          </w:tcPr>
          <w:p>
            <w:r/>
            <w:r>
              <w:rPr>
                <w:b w:val="0"/>
                <w:color w:val="2B2B2B"/>
                <w:sz w:val="16"/>
              </w:rPr>
              <w:t>10,150,000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3,850,000</w:t>
            </w:r>
          </w:p>
        </w:tc>
        <w:tc>
          <w:tcPr>
            <w:tcW w:type="dxa" w:w="1461"/>
            <w:vAlign w:val="center"/>
          </w:tcPr>
          <w:p>
            <w:r/>
            <w:r>
              <w:rPr>
                <w:b w:val="0"/>
                <w:color w:val="2B2B2B"/>
                <w:sz w:val="16"/>
              </w:rPr>
              <w:t>6,650,000</w:t>
            </w:r>
          </w:p>
        </w:tc>
        <w:tc>
          <w:tcPr>
            <w:tcW w:type="dxa" w:w="1461"/>
            <w:vAlign w:val="center"/>
          </w:tcPr>
          <w:p>
            <w:r/>
            <w:r>
              <w:rPr>
                <w:b w:val="0"/>
                <w:color w:val="2B2B2B"/>
                <w:sz w:val="16"/>
              </w:rPr>
              <w:t>9,425,000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3,300,000</w:t>
            </w:r>
          </w:p>
        </w:tc>
        <w:tc>
          <w:tcPr>
            <w:tcW w:type="dxa" w:w="1461"/>
            <w:vAlign w:val="center"/>
          </w:tcPr>
          <w:p>
            <w:r/>
            <w:r>
              <w:rPr>
                <w:b w:val="0"/>
                <w:color w:val="2B2B2B"/>
                <w:sz w:val="16"/>
              </w:rPr>
              <w:t>5,700,000</w:t>
            </w:r>
          </w:p>
        </w:tc>
        <w:tc>
          <w:tcPr>
            <w:tcW w:type="dxa" w:w="1461"/>
            <w:vAlign w:val="center"/>
          </w:tcPr>
          <w:p>
            <w:r/>
            <w:r>
              <w:rPr>
                <w:b w:val="0"/>
                <w:color w:val="2B2B2B"/>
                <w:sz w:val="16"/>
              </w:rPr>
              <w:t>8,700,000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2,750,000</w:t>
            </w:r>
          </w:p>
        </w:tc>
        <w:tc>
          <w:tcPr>
            <w:tcW w:type="dxa" w:w="1461"/>
            <w:vAlign w:val="center"/>
          </w:tcPr>
          <w:p>
            <w:r/>
            <w:r>
              <w:rPr>
                <w:b w:val="0"/>
                <w:color w:val="2B2B2B"/>
                <w:sz w:val="16"/>
              </w:rPr>
              <w:t>4,750,000</w:t>
            </w:r>
          </w:p>
        </w:tc>
        <w:tc>
          <w:tcPr>
            <w:tcW w:type="dxa" w:w="1461"/>
            <w:vAlign w:val="center"/>
          </w:tcPr>
          <w:p>
            <w:r/>
            <w:r>
              <w:rPr>
                <w:b w:val="0"/>
                <w:color w:val="2B2B2B"/>
                <w:sz w:val="16"/>
              </w:rPr>
              <w:t>7,975,000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4,400,000</w:t>
            </w:r>
          </w:p>
        </w:tc>
        <w:tc>
          <w:tcPr>
            <w:tcW w:type="dxa" w:w="1461"/>
            <w:vAlign w:val="center"/>
          </w:tcPr>
          <w:p>
            <w:r/>
            <w:r>
              <w:rPr>
                <w:b w:val="0"/>
                <w:color w:val="2B2B2B"/>
                <w:sz w:val="16"/>
              </w:rPr>
              <w:t>7,600,000</w:t>
            </w:r>
          </w:p>
        </w:tc>
        <w:tc>
          <w:tcPr>
            <w:tcW w:type="dxa" w:w="1461"/>
            <w:vAlign w:val="center"/>
          </w:tcPr>
          <w:p>
            <w:r/>
            <w:r>
              <w:rPr>
                <w:b w:val="0"/>
                <w:color w:val="2B2B2B"/>
                <w:sz w:val="16"/>
              </w:rPr>
              <w:t>10,875,000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6,600,000</w:t>
            </w:r>
          </w:p>
        </w:tc>
        <w:tc>
          <w:tcPr>
            <w:tcW w:type="dxa" w:w="1461"/>
            <w:vAlign w:val="center"/>
          </w:tcPr>
          <w:p>
            <w:r/>
            <w:r>
              <w:rPr>
                <w:b w:val="0"/>
                <w:color w:val="2B2B2B"/>
                <w:sz w:val="16"/>
              </w:rPr>
              <w:t>11,400,000</w:t>
            </w:r>
          </w:p>
        </w:tc>
        <w:tc>
          <w:tcPr>
            <w:tcW w:type="dxa" w:w="1461"/>
            <w:vAlign w:val="center"/>
          </w:tcPr>
          <w:p>
            <w:r/>
            <w:r>
              <w:rPr>
                <w:b w:val="0"/>
                <w:color w:val="2B2B2B"/>
                <w:sz w:val="16"/>
              </w:rPr>
              <w:t>18,850,000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4,400,000</w:t>
            </w:r>
          </w:p>
        </w:tc>
        <w:tc>
          <w:tcPr>
            <w:tcW w:type="dxa" w:w="1461"/>
            <w:vAlign w:val="center"/>
          </w:tcPr>
          <w:p>
            <w:r/>
            <w:r>
              <w:rPr>
                <w:b w:val="0"/>
                <w:color w:val="2B2B2B"/>
                <w:sz w:val="16"/>
              </w:rPr>
              <w:t>8,550,000</w:t>
            </w:r>
          </w:p>
        </w:tc>
        <w:tc>
          <w:tcPr>
            <w:tcW w:type="dxa" w:w="1461"/>
            <w:vAlign w:val="center"/>
          </w:tcPr>
          <w:p>
            <w:r/>
            <w:r>
              <w:rPr>
                <w:b w:val="0"/>
                <w:color w:val="2B2B2B"/>
                <w:sz w:val="16"/>
              </w:rPr>
              <w:t>14,500,000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2,750,000</w:t>
            </w:r>
          </w:p>
        </w:tc>
        <w:tc>
          <w:tcPr>
            <w:tcW w:type="dxa" w:w="1461"/>
            <w:vAlign w:val="center"/>
          </w:tcPr>
          <w:p>
            <w:r/>
            <w:r>
              <w:rPr>
                <w:b w:val="0"/>
                <w:color w:val="2B2B2B"/>
                <w:sz w:val="16"/>
              </w:rPr>
              <w:t>4,750,000</w:t>
            </w:r>
          </w:p>
        </w:tc>
        <w:tc>
          <w:tcPr>
            <w:tcW w:type="dxa" w:w="1461"/>
            <w:vAlign w:val="center"/>
          </w:tcPr>
          <w:p>
            <w:r/>
            <w:r>
              <w:rPr>
                <w:b w:val="0"/>
                <w:color w:val="2B2B2B"/>
                <w:sz w:val="16"/>
              </w:rPr>
              <w:t>7,975,000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3,850,000</w:t>
            </w:r>
          </w:p>
        </w:tc>
        <w:tc>
          <w:tcPr>
            <w:tcW w:type="dxa" w:w="1461"/>
            <w:vAlign w:val="center"/>
          </w:tcPr>
          <w:p>
            <w:r/>
            <w:r>
              <w:rPr>
                <w:b w:val="0"/>
                <w:color w:val="2B2B2B"/>
                <w:sz w:val="16"/>
              </w:rPr>
              <w:t>8,550,000</w:t>
            </w:r>
          </w:p>
        </w:tc>
        <w:tc>
          <w:tcPr>
            <w:tcW w:type="dxa" w:w="1461"/>
            <w:vAlign w:val="center"/>
          </w:tcPr>
          <w:p>
            <w:r/>
            <w:r>
              <w:rPr>
                <w:b w:val="0"/>
                <w:color w:val="2B2B2B"/>
                <w:sz w:val="16"/>
              </w:rPr>
              <w:t>14,500,000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3,300,000</w:t>
            </w:r>
          </w:p>
        </w:tc>
        <w:tc>
          <w:tcPr>
            <w:tcW w:type="dxa" w:w="1461"/>
            <w:vAlign w:val="center"/>
          </w:tcPr>
          <w:p>
            <w:r/>
            <w:r>
              <w:rPr>
                <w:b w:val="0"/>
                <w:color w:val="2B2B2B"/>
                <w:sz w:val="16"/>
              </w:rPr>
              <w:t>6,650,000</w:t>
            </w:r>
          </w:p>
        </w:tc>
        <w:tc>
          <w:tcPr>
            <w:tcW w:type="dxa" w:w="1461"/>
            <w:vAlign w:val="center"/>
          </w:tcPr>
          <w:p>
            <w:r/>
            <w:r>
              <w:rPr>
                <w:b w:val="0"/>
                <w:color w:val="2B2B2B"/>
                <w:sz w:val="16"/>
              </w:rPr>
              <w:t>10,875,000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2,750,000</w:t>
            </w:r>
          </w:p>
        </w:tc>
        <w:tc>
          <w:tcPr>
            <w:tcW w:type="dxa" w:w="1461"/>
            <w:vAlign w:val="center"/>
          </w:tcPr>
          <w:p>
            <w:r/>
            <w:r>
              <w:rPr>
                <w:b w:val="0"/>
                <w:color w:val="2B2B2B"/>
                <w:sz w:val="16"/>
              </w:rPr>
              <w:t>4,750,000</w:t>
            </w:r>
          </w:p>
        </w:tc>
        <w:tc>
          <w:tcPr>
            <w:tcW w:type="dxa" w:w="1461"/>
            <w:vAlign w:val="center"/>
          </w:tcPr>
          <w:p>
            <w:r/>
            <w:r>
              <w:rPr>
                <w:b w:val="0"/>
                <w:color w:val="2B2B2B"/>
                <w:sz w:val="16"/>
              </w:rPr>
              <w:t>8,700,000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4,950,000</w:t>
            </w:r>
          </w:p>
        </w:tc>
        <w:tc>
          <w:tcPr>
            <w:tcW w:type="dxa" w:w="1461"/>
            <w:vAlign w:val="center"/>
          </w:tcPr>
          <w:p>
            <w:r/>
            <w:r>
              <w:rPr>
                <w:b w:val="0"/>
                <w:color w:val="2B2B2B"/>
                <w:sz w:val="16"/>
              </w:rPr>
              <w:t>8,550,000</w:t>
            </w:r>
          </w:p>
        </w:tc>
        <w:tc>
          <w:tcPr>
            <w:tcW w:type="dxa" w:w="1461"/>
            <w:vAlign w:val="center"/>
          </w:tcPr>
          <w:p>
            <w:r/>
            <w:r>
              <w:rPr>
                <w:b w:val="0"/>
                <w:color w:val="2B2B2B"/>
                <w:sz w:val="16"/>
              </w:rPr>
              <w:t>11,600,000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2,750,000</w:t>
            </w:r>
          </w:p>
        </w:tc>
        <w:tc>
          <w:tcPr>
            <w:tcW w:type="dxa" w:w="1461"/>
            <w:vAlign w:val="center"/>
          </w:tcPr>
          <w:p>
            <w:r/>
            <w:r>
              <w:rPr>
                <w:b w:val="0"/>
                <w:color w:val="2B2B2B"/>
                <w:sz w:val="16"/>
              </w:rPr>
              <w:t>4,750,000</w:t>
            </w:r>
          </w:p>
        </w:tc>
        <w:tc>
          <w:tcPr>
            <w:tcW w:type="dxa" w:w="1461"/>
            <w:vAlign w:val="center"/>
          </w:tcPr>
          <w:p>
            <w:r/>
            <w:r>
              <w:rPr>
                <w:b w:val="0"/>
                <w:color w:val="2B2B2B"/>
                <w:sz w:val="16"/>
              </w:rPr>
              <w:t>6,525,000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3,300,000</w:t>
            </w:r>
          </w:p>
        </w:tc>
        <w:tc>
          <w:tcPr>
            <w:tcW w:type="dxa" w:w="1461"/>
            <w:vAlign w:val="center"/>
          </w:tcPr>
          <w:p>
            <w:r/>
            <w:r>
              <w:rPr>
                <w:b w:val="0"/>
                <w:color w:val="2B2B2B"/>
                <w:sz w:val="16"/>
              </w:rPr>
              <w:t>5,700,000</w:t>
            </w:r>
          </w:p>
        </w:tc>
        <w:tc>
          <w:tcPr>
            <w:tcW w:type="dxa" w:w="1461"/>
            <w:vAlign w:val="center"/>
          </w:tcPr>
          <w:p>
            <w:r/>
            <w:r>
              <w:rPr>
                <w:b w:val="0"/>
                <w:color w:val="2B2B2B"/>
                <w:sz w:val="16"/>
              </w:rPr>
              <w:t>9,425,000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3,300,000</w:t>
            </w:r>
          </w:p>
        </w:tc>
        <w:tc>
          <w:tcPr>
            <w:tcW w:type="dxa" w:w="1461"/>
            <w:vAlign w:val="center"/>
          </w:tcPr>
          <w:p>
            <w:r/>
            <w:r>
              <w:rPr>
                <w:b w:val="0"/>
                <w:color w:val="2B2B2B"/>
                <w:sz w:val="16"/>
              </w:rPr>
              <w:t>5,700,000</w:t>
            </w:r>
          </w:p>
        </w:tc>
        <w:tc>
          <w:tcPr>
            <w:tcW w:type="dxa" w:w="1461"/>
            <w:vAlign w:val="center"/>
          </w:tcPr>
          <w:p>
            <w:r/>
            <w:r>
              <w:rPr>
                <w:b w:val="0"/>
                <w:color w:val="2B2B2B"/>
                <w:sz w:val="16"/>
              </w:rPr>
              <w:t>9,425,000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55,000,000</w:t>
            </w:r>
          </w:p>
        </w:tc>
        <w:tc>
          <w:tcPr>
            <w:tcW w:type="dxa" w:w="1461"/>
            <w:vAlign w:val="center"/>
          </w:tcPr>
          <w:p>
            <w:r/>
            <w:r>
              <w:rPr>
                <w:b w:val="0"/>
                <w:color w:val="2B2B2B"/>
                <w:sz w:val="16"/>
              </w:rPr>
              <w:t>95,000,000</w:t>
            </w:r>
          </w:p>
        </w:tc>
        <w:tc>
          <w:tcPr>
            <w:tcW w:type="dxa" w:w="1461"/>
            <w:vAlign w:val="center"/>
          </w:tcPr>
          <w:p>
            <w:r/>
            <w:r>
              <w:rPr>
                <w:b w:val="0"/>
                <w:color w:val="2B2B2B"/>
                <w:sz w:val="16"/>
              </w:rPr>
              <w:t>145,000,000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Qualified booking enquiry or direct booking with a trackable stay code.. Planning value per conversion: MMK 900,000; assumed contribution margin: 35%.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302</w:t>
            </w:r>
          </w:p>
        </w:tc>
        <w:tc>
          <w:tcPr>
            <w:tcW w:type="dxa" w:w="2045"/>
            <w:vAlign w:val="center"/>
          </w:tcPr>
          <w:p>
            <w:r/>
            <w:r>
              <w:rPr>
                <w:b w:val="0"/>
                <w:color w:val="2B2B2B"/>
                <w:sz w:val="16"/>
              </w:rPr>
              <w:t>MMK 95,130,000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513</w:t>
            </w:r>
          </w:p>
        </w:tc>
        <w:tc>
          <w:tcPr>
            <w:tcW w:type="dxa" w:w="2045"/>
            <w:vAlign w:val="center"/>
          </w:tcPr>
          <w:p>
            <w:r/>
            <w:r>
              <w:rPr>
                <w:b w:val="0"/>
                <w:color w:val="2B2B2B"/>
                <w:sz w:val="16"/>
              </w:rPr>
              <w:t>MMK 161,595,000</w:t>
            </w:r>
          </w:p>
        </w:tc>
        <w:tc>
          <w:tcPr>
            <w:tcW w:type="dxa" w:w="2045"/>
            <w:vAlign w:val="center"/>
          </w:tcPr>
          <w:p>
            <w:r/>
            <w:r>
              <w:rPr>
                <w:b w:val="0"/>
                <w:color w:val="2B2B2B"/>
                <w:sz w:val="16"/>
              </w:rPr>
              <w:t>70%</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604</w:t>
            </w:r>
          </w:p>
        </w:tc>
        <w:tc>
          <w:tcPr>
            <w:tcW w:type="dxa" w:w="2045"/>
            <w:vAlign w:val="center"/>
          </w:tcPr>
          <w:p>
            <w:r/>
            <w:r>
              <w:rPr>
                <w:b w:val="0"/>
                <w:color w:val="2B2B2B"/>
                <w:sz w:val="16"/>
              </w:rPr>
              <w:t>MMK 190,260,000</w:t>
            </w:r>
          </w:p>
        </w:tc>
        <w:tc>
          <w:tcPr>
            <w:tcW w:type="dxa" w:w="2045"/>
            <w:vAlign w:val="center"/>
          </w:tcPr>
          <w:p>
            <w:r/>
            <w:r>
              <w:rPr>
                <w:b w:val="0"/>
                <w:color w:val="2B2B2B"/>
                <w:sz w:val="16"/>
              </w:rPr>
              <w:t>100%</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302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Yangon upper-midscale hotel group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Seasonality, fuel and transport costs, venue occupancy, creator availability.</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the key wall: a physical map of micro-itineraries. and the five-minute host: staff share one useful local ritual.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[3] Myanmar Ministry of Hotels and Tourism — Tourism Statistics — https://tourism.gov.mm/en/tourism-statistics (published/accessed accessed 2026-08-20). Supports: Official tourism statistics archive and sector source hierarchy.</w:t>
      </w:r>
    </w:p>
    <w:p>
      <w:pPr>
        <w:spacing w:after="100" w:line="252" w:lineRule="auto"/>
      </w:pPr>
      <w:r>
        <w:t>[4] LOTTE HOTEL YANGON — Event Spaces — https://www.lottehotel.com/yangon-hotel/en/wedding-convention/convention/overview (published/accessed accessed 2026-08-20). Supports: Venue capacity and event-space existence; live page presented a bot challenge, so quotation required.</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[6] Yoma Bank — Currency Exchange Rates — https://www.yomabank.com/en/rates/ (published/accessed 2026-08-18). Supports: Dated indicative USD/MMK assumption: MMK 3,658 trade-related average selling price; rates are not binding.</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