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Built for the Next Shift</w:t>
      </w:r>
    </w:p>
    <w:p>
      <w:pPr>
        <w:spacing w:after="100" w:line="252" w:lineRule="auto"/>
      </w:pPr>
      <w:r>
        <w:t>Manufacturing / B2B · Myanmar commercial context · Trade-show pavilion + distributor workshop + sales enablement content</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Industrial equipment, materials or manufacturing supplier faces a specific commercial tension: B2B buyers are under cost pressure and risk aversion; generic product brochures are not enough to justify a plant-floor change. The opportunity is to change one behaviour — visitors identify one production bottleneck, see a proof application, and leave with a distributor-ready improvement brief. — so that the audience moves from passive interest to a measurable qualified plant visit, technical audit, distributor order or pilot project..</w:t>
      </w:r>
    </w:p>
    <w:p>
      <w:pPr>
        <w:spacing w:after="100" w:line="252" w:lineRule="auto"/>
      </w:pPr>
      <w:r>
        <w:t>The proposed platform is **Built for the Next Shift**. Its promise is: “Turn the next shift into a better one.” The architecture combines trade-show pavilion + distributor workshop + sales enablement content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112,000,000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Qualified plant visit, technical audit, distributor order or pilot project.</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manufacturing / b2b, the commercial opportunity is to reduce one form of hesitation: b2b buyers are under cost pressure and risk aversion.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Industrial trust is earned when the supplier helps the buyer articulate the operational cost of doing nothing.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Industrial equipment, materials or manufacturing supplier the easiest credible next step for the audience’s current need. The single behaviour change is: Visitors identify one production bottleneck, see a proof application, and leave with a distributor-ready improvement brief..</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Plant managers, procurement, distributors, engineers, owners and maintenance leads.</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**Built for the Next Shift** turns the category’s abstract promise into a tangible proof moment. Promise: “Turn the next shift into a better one.”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Bottleneck Board: real operational issues, anonymously shared.</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Cutaway Proof: material/part/application demonstration.</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Engineer-to-engineer clinic.</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Sales handoff pack with next action and owner.</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Two-day trade pavilion plus closed distributor workshop.; the distribution layer is LinkedIn, email ABM, trade associations, distributor channels, case-study content, search retargeting.; the conversion layer is Qualified plant visit, technical audit, distributor order or pilot project..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Yangon industrial exhibition venue or factory demonstration site, TBC. Production direction: 24m x 12m booth, durable materials, demonstration bench, lockable storage, cable management, safety barriers..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built_for_the_next_shift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built_for_the_next_shift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Technical moderator, 2 engineers, distributor panel TBC, no performers.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5,200,000</w:t>
            </w:r>
          </w:p>
        </w:tc>
        <w:tc>
          <w:tcPr>
            <w:tcW w:type="dxa" w:w="1461"/>
            <w:vAlign w:val="center"/>
          </w:tcPr>
          <w:p>
            <w:r/>
            <w:r>
              <w:rPr>
                <w:b w:val="0"/>
                <w:color w:val="2B2B2B"/>
                <w:sz w:val="16"/>
              </w:rPr>
              <w:t>8,960,000</w:t>
            </w:r>
          </w:p>
        </w:tc>
        <w:tc>
          <w:tcPr>
            <w:tcW w:type="dxa" w:w="1461"/>
            <w:vAlign w:val="center"/>
          </w:tcPr>
          <w:p>
            <w:r/>
            <w:r>
              <w:rPr>
                <w:b w:val="0"/>
                <w:color w:val="2B2B2B"/>
                <w:sz w:val="16"/>
              </w:rPr>
              <w:t>12,250,000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4,550,000</w:t>
            </w:r>
          </w:p>
        </w:tc>
        <w:tc>
          <w:tcPr>
            <w:tcW w:type="dxa" w:w="1461"/>
            <w:vAlign w:val="center"/>
          </w:tcPr>
          <w:p>
            <w:r/>
            <w:r>
              <w:rPr>
                <w:b w:val="0"/>
                <w:color w:val="2B2B2B"/>
                <w:sz w:val="16"/>
              </w:rPr>
              <w:t>7,840,000</w:t>
            </w:r>
          </w:p>
        </w:tc>
        <w:tc>
          <w:tcPr>
            <w:tcW w:type="dxa" w:w="1461"/>
            <w:vAlign w:val="center"/>
          </w:tcPr>
          <w:p>
            <w:r/>
            <w:r>
              <w:rPr>
                <w:b w:val="0"/>
                <w:color w:val="2B2B2B"/>
                <w:sz w:val="16"/>
              </w:rPr>
              <w:t>11,375,000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3,900,000</w:t>
            </w:r>
          </w:p>
        </w:tc>
        <w:tc>
          <w:tcPr>
            <w:tcW w:type="dxa" w:w="1461"/>
            <w:vAlign w:val="center"/>
          </w:tcPr>
          <w:p>
            <w:r/>
            <w:r>
              <w:rPr>
                <w:b w:val="0"/>
                <w:color w:val="2B2B2B"/>
                <w:sz w:val="16"/>
              </w:rPr>
              <w:t>6,720,000</w:t>
            </w:r>
          </w:p>
        </w:tc>
        <w:tc>
          <w:tcPr>
            <w:tcW w:type="dxa" w:w="1461"/>
            <w:vAlign w:val="center"/>
          </w:tcPr>
          <w:p>
            <w:r/>
            <w:r>
              <w:rPr>
                <w:b w:val="0"/>
                <w:color w:val="2B2B2B"/>
                <w:sz w:val="16"/>
              </w:rPr>
              <w:t>10,500,000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3,250,000</w:t>
            </w:r>
          </w:p>
        </w:tc>
        <w:tc>
          <w:tcPr>
            <w:tcW w:type="dxa" w:w="1461"/>
            <w:vAlign w:val="center"/>
          </w:tcPr>
          <w:p>
            <w:r/>
            <w:r>
              <w:rPr>
                <w:b w:val="0"/>
                <w:color w:val="2B2B2B"/>
                <w:sz w:val="16"/>
              </w:rPr>
              <w:t>5,600,000</w:t>
            </w:r>
          </w:p>
        </w:tc>
        <w:tc>
          <w:tcPr>
            <w:tcW w:type="dxa" w:w="1461"/>
            <w:vAlign w:val="center"/>
          </w:tcPr>
          <w:p>
            <w:r/>
            <w:r>
              <w:rPr>
                <w:b w:val="0"/>
                <w:color w:val="2B2B2B"/>
                <w:sz w:val="16"/>
              </w:rPr>
              <w:t>9,625,000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5,200,000</w:t>
            </w:r>
          </w:p>
        </w:tc>
        <w:tc>
          <w:tcPr>
            <w:tcW w:type="dxa" w:w="1461"/>
            <w:vAlign w:val="center"/>
          </w:tcPr>
          <w:p>
            <w:r/>
            <w:r>
              <w:rPr>
                <w:b w:val="0"/>
                <w:color w:val="2B2B2B"/>
                <w:sz w:val="16"/>
              </w:rPr>
              <w:t>8,960,000</w:t>
            </w:r>
          </w:p>
        </w:tc>
        <w:tc>
          <w:tcPr>
            <w:tcW w:type="dxa" w:w="1461"/>
            <w:vAlign w:val="center"/>
          </w:tcPr>
          <w:p>
            <w:r/>
            <w:r>
              <w:rPr>
                <w:b w:val="0"/>
                <w:color w:val="2B2B2B"/>
                <w:sz w:val="16"/>
              </w:rPr>
              <w:t>13,125,000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7,800,000</w:t>
            </w:r>
          </w:p>
        </w:tc>
        <w:tc>
          <w:tcPr>
            <w:tcW w:type="dxa" w:w="1461"/>
            <w:vAlign w:val="center"/>
          </w:tcPr>
          <w:p>
            <w:r/>
            <w:r>
              <w:rPr>
                <w:b w:val="0"/>
                <w:color w:val="2B2B2B"/>
                <w:sz w:val="16"/>
              </w:rPr>
              <w:t>13,440,000</w:t>
            </w:r>
          </w:p>
        </w:tc>
        <w:tc>
          <w:tcPr>
            <w:tcW w:type="dxa" w:w="1461"/>
            <w:vAlign w:val="center"/>
          </w:tcPr>
          <w:p>
            <w:r/>
            <w:r>
              <w:rPr>
                <w:b w:val="0"/>
                <w:color w:val="2B2B2B"/>
                <w:sz w:val="16"/>
              </w:rPr>
              <w:t>22,750,000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5,200,000</w:t>
            </w:r>
          </w:p>
        </w:tc>
        <w:tc>
          <w:tcPr>
            <w:tcW w:type="dxa" w:w="1461"/>
            <w:vAlign w:val="center"/>
          </w:tcPr>
          <w:p>
            <w:r/>
            <w:r>
              <w:rPr>
                <w:b w:val="0"/>
                <w:color w:val="2B2B2B"/>
                <w:sz w:val="16"/>
              </w:rPr>
              <w:t>10,080,000</w:t>
            </w:r>
          </w:p>
        </w:tc>
        <w:tc>
          <w:tcPr>
            <w:tcW w:type="dxa" w:w="1461"/>
            <w:vAlign w:val="center"/>
          </w:tcPr>
          <w:p>
            <w:r/>
            <w:r>
              <w:rPr>
                <w:b w:val="0"/>
                <w:color w:val="2B2B2B"/>
                <w:sz w:val="16"/>
              </w:rPr>
              <w:t>17,500,000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3,250,000</w:t>
            </w:r>
          </w:p>
        </w:tc>
        <w:tc>
          <w:tcPr>
            <w:tcW w:type="dxa" w:w="1461"/>
            <w:vAlign w:val="center"/>
          </w:tcPr>
          <w:p>
            <w:r/>
            <w:r>
              <w:rPr>
                <w:b w:val="0"/>
                <w:color w:val="2B2B2B"/>
                <w:sz w:val="16"/>
              </w:rPr>
              <w:t>5,600,000</w:t>
            </w:r>
          </w:p>
        </w:tc>
        <w:tc>
          <w:tcPr>
            <w:tcW w:type="dxa" w:w="1461"/>
            <w:vAlign w:val="center"/>
          </w:tcPr>
          <w:p>
            <w:r/>
            <w:r>
              <w:rPr>
                <w:b w:val="0"/>
                <w:color w:val="2B2B2B"/>
                <w:sz w:val="16"/>
              </w:rPr>
              <w:t>9,625,000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4,550,000</w:t>
            </w:r>
          </w:p>
        </w:tc>
        <w:tc>
          <w:tcPr>
            <w:tcW w:type="dxa" w:w="1461"/>
            <w:vAlign w:val="center"/>
          </w:tcPr>
          <w:p>
            <w:r/>
            <w:r>
              <w:rPr>
                <w:b w:val="0"/>
                <w:color w:val="2B2B2B"/>
                <w:sz w:val="16"/>
              </w:rPr>
              <w:t>10,080,000</w:t>
            </w:r>
          </w:p>
        </w:tc>
        <w:tc>
          <w:tcPr>
            <w:tcW w:type="dxa" w:w="1461"/>
            <w:vAlign w:val="center"/>
          </w:tcPr>
          <w:p>
            <w:r/>
            <w:r>
              <w:rPr>
                <w:b w:val="0"/>
                <w:color w:val="2B2B2B"/>
                <w:sz w:val="16"/>
              </w:rPr>
              <w:t>17,500,000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3,900,000</w:t>
            </w:r>
          </w:p>
        </w:tc>
        <w:tc>
          <w:tcPr>
            <w:tcW w:type="dxa" w:w="1461"/>
            <w:vAlign w:val="center"/>
          </w:tcPr>
          <w:p>
            <w:r/>
            <w:r>
              <w:rPr>
                <w:b w:val="0"/>
                <w:color w:val="2B2B2B"/>
                <w:sz w:val="16"/>
              </w:rPr>
              <w:t>7,840,000</w:t>
            </w:r>
          </w:p>
        </w:tc>
        <w:tc>
          <w:tcPr>
            <w:tcW w:type="dxa" w:w="1461"/>
            <w:vAlign w:val="center"/>
          </w:tcPr>
          <w:p>
            <w:r/>
            <w:r>
              <w:rPr>
                <w:b w:val="0"/>
                <w:color w:val="2B2B2B"/>
                <w:sz w:val="16"/>
              </w:rPr>
              <w:t>13,125,000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3,250,000</w:t>
            </w:r>
          </w:p>
        </w:tc>
        <w:tc>
          <w:tcPr>
            <w:tcW w:type="dxa" w:w="1461"/>
            <w:vAlign w:val="center"/>
          </w:tcPr>
          <w:p>
            <w:r/>
            <w:r>
              <w:rPr>
                <w:b w:val="0"/>
                <w:color w:val="2B2B2B"/>
                <w:sz w:val="16"/>
              </w:rPr>
              <w:t>5,600,000</w:t>
            </w:r>
          </w:p>
        </w:tc>
        <w:tc>
          <w:tcPr>
            <w:tcW w:type="dxa" w:w="1461"/>
            <w:vAlign w:val="center"/>
          </w:tcPr>
          <w:p>
            <w:r/>
            <w:r>
              <w:rPr>
                <w:b w:val="0"/>
                <w:color w:val="2B2B2B"/>
                <w:sz w:val="16"/>
              </w:rPr>
              <w:t>10,500,000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5,850,000</w:t>
            </w:r>
          </w:p>
        </w:tc>
        <w:tc>
          <w:tcPr>
            <w:tcW w:type="dxa" w:w="1461"/>
            <w:vAlign w:val="center"/>
          </w:tcPr>
          <w:p>
            <w:r/>
            <w:r>
              <w:rPr>
                <w:b w:val="0"/>
                <w:color w:val="2B2B2B"/>
                <w:sz w:val="16"/>
              </w:rPr>
              <w:t>10,080,000</w:t>
            </w:r>
          </w:p>
        </w:tc>
        <w:tc>
          <w:tcPr>
            <w:tcW w:type="dxa" w:w="1461"/>
            <w:vAlign w:val="center"/>
          </w:tcPr>
          <w:p>
            <w:r/>
            <w:r>
              <w:rPr>
                <w:b w:val="0"/>
                <w:color w:val="2B2B2B"/>
                <w:sz w:val="16"/>
              </w:rPr>
              <w:t>14,000,000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3,250,000</w:t>
            </w:r>
          </w:p>
        </w:tc>
        <w:tc>
          <w:tcPr>
            <w:tcW w:type="dxa" w:w="1461"/>
            <w:vAlign w:val="center"/>
          </w:tcPr>
          <w:p>
            <w:r/>
            <w:r>
              <w:rPr>
                <w:b w:val="0"/>
                <w:color w:val="2B2B2B"/>
                <w:sz w:val="16"/>
              </w:rPr>
              <w:t>5,600,000</w:t>
            </w:r>
          </w:p>
        </w:tc>
        <w:tc>
          <w:tcPr>
            <w:tcW w:type="dxa" w:w="1461"/>
            <w:vAlign w:val="center"/>
          </w:tcPr>
          <w:p>
            <w:r/>
            <w:r>
              <w:rPr>
                <w:b w:val="0"/>
                <w:color w:val="2B2B2B"/>
                <w:sz w:val="16"/>
              </w:rPr>
              <w:t>7,875,000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3,900,000</w:t>
            </w:r>
          </w:p>
        </w:tc>
        <w:tc>
          <w:tcPr>
            <w:tcW w:type="dxa" w:w="1461"/>
            <w:vAlign w:val="center"/>
          </w:tcPr>
          <w:p>
            <w:r/>
            <w:r>
              <w:rPr>
                <w:b w:val="0"/>
                <w:color w:val="2B2B2B"/>
                <w:sz w:val="16"/>
              </w:rPr>
              <w:t>6,720,000</w:t>
            </w:r>
          </w:p>
        </w:tc>
        <w:tc>
          <w:tcPr>
            <w:tcW w:type="dxa" w:w="1461"/>
            <w:vAlign w:val="center"/>
          </w:tcPr>
          <w:p>
            <w:r/>
            <w:r>
              <w:rPr>
                <w:b w:val="0"/>
                <w:color w:val="2B2B2B"/>
                <w:sz w:val="16"/>
              </w:rPr>
              <w:t>11,375,000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3,900,000</w:t>
            </w:r>
          </w:p>
        </w:tc>
        <w:tc>
          <w:tcPr>
            <w:tcW w:type="dxa" w:w="1461"/>
            <w:vAlign w:val="center"/>
          </w:tcPr>
          <w:p>
            <w:r/>
            <w:r>
              <w:rPr>
                <w:b w:val="0"/>
                <w:color w:val="2B2B2B"/>
                <w:sz w:val="16"/>
              </w:rPr>
              <w:t>6,720,000</w:t>
            </w:r>
          </w:p>
        </w:tc>
        <w:tc>
          <w:tcPr>
            <w:tcW w:type="dxa" w:w="1461"/>
            <w:vAlign w:val="center"/>
          </w:tcPr>
          <w:p>
            <w:r/>
            <w:r>
              <w:rPr>
                <w:b w:val="0"/>
                <w:color w:val="2B2B2B"/>
                <w:sz w:val="16"/>
              </w:rPr>
              <w:t>11,375,000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65,000,000</w:t>
            </w:r>
          </w:p>
        </w:tc>
        <w:tc>
          <w:tcPr>
            <w:tcW w:type="dxa" w:w="1461"/>
            <w:vAlign w:val="center"/>
          </w:tcPr>
          <w:p>
            <w:r/>
            <w:r>
              <w:rPr>
                <w:b w:val="0"/>
                <w:color w:val="2B2B2B"/>
                <w:sz w:val="16"/>
              </w:rPr>
              <w:t>112,000,000</w:t>
            </w:r>
          </w:p>
        </w:tc>
        <w:tc>
          <w:tcPr>
            <w:tcW w:type="dxa" w:w="1461"/>
            <w:vAlign w:val="center"/>
          </w:tcPr>
          <w:p>
            <w:r/>
            <w:r>
              <w:rPr>
                <w:b w:val="0"/>
                <w:color w:val="2B2B2B"/>
                <w:sz w:val="16"/>
              </w:rPr>
              <w:t>175,000,000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Qualified plant visit, technical audit, distributor order or pilot project.. Planning value per conversion: MMK 18,000,000; assumed contribution margin: 20%.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32</w:t>
            </w:r>
          </w:p>
        </w:tc>
        <w:tc>
          <w:tcPr>
            <w:tcW w:type="dxa" w:w="2045"/>
            <w:vAlign w:val="center"/>
          </w:tcPr>
          <w:p>
            <w:r/>
            <w:r>
              <w:rPr>
                <w:b w:val="0"/>
                <w:color w:val="2B2B2B"/>
                <w:sz w:val="16"/>
              </w:rPr>
              <w:t>MMK 115,200,000</w:t>
            </w:r>
          </w:p>
        </w:tc>
        <w:tc>
          <w:tcPr>
            <w:tcW w:type="dxa" w:w="2045"/>
            <w:vAlign w:val="center"/>
          </w:tcPr>
          <w:p>
            <w:r/>
            <w:r>
              <w:rPr>
                <w:b w:val="0"/>
                <w:color w:val="2B2B2B"/>
                <w:sz w:val="16"/>
              </w:rPr>
              <w:t>3%</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54</w:t>
            </w:r>
          </w:p>
        </w:tc>
        <w:tc>
          <w:tcPr>
            <w:tcW w:type="dxa" w:w="2045"/>
            <w:vAlign w:val="center"/>
          </w:tcPr>
          <w:p>
            <w:r/>
            <w:r>
              <w:rPr>
                <w:b w:val="0"/>
                <w:color w:val="2B2B2B"/>
                <w:sz w:val="16"/>
              </w:rPr>
              <w:t>MMK 194,400,000</w:t>
            </w:r>
          </w:p>
        </w:tc>
        <w:tc>
          <w:tcPr>
            <w:tcW w:type="dxa" w:w="2045"/>
            <w:vAlign w:val="center"/>
          </w:tcPr>
          <w:p>
            <w:r/>
            <w:r>
              <w:rPr>
                <w:b w:val="0"/>
                <w:color w:val="2B2B2B"/>
                <w:sz w:val="16"/>
              </w:rPr>
              <w:t>74%</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64</w:t>
            </w:r>
          </w:p>
        </w:tc>
        <w:tc>
          <w:tcPr>
            <w:tcW w:type="dxa" w:w="2045"/>
            <w:vAlign w:val="center"/>
          </w:tcPr>
          <w:p>
            <w:r/>
            <w:r>
              <w:rPr>
                <w:b w:val="0"/>
                <w:color w:val="2B2B2B"/>
                <w:sz w:val="16"/>
              </w:rPr>
              <w:t>MMK 230,400,000</w:t>
            </w:r>
          </w:p>
        </w:tc>
        <w:tc>
          <w:tcPr>
            <w:tcW w:type="dxa" w:w="2045"/>
            <w:vAlign w:val="center"/>
          </w:tcPr>
          <w:p>
            <w:r/>
            <w:r>
              <w:rPr>
                <w:b w:val="0"/>
                <w:color w:val="2B2B2B"/>
                <w:sz w:val="16"/>
              </w:rPr>
              <w:t>106%</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32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Industrial equipment, materials or manufacturing supplier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Machine safety, hazardous materials, venue rules, technical claims, logistics.</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bottleneck board: real operational issues, anonymously shared. and cutaway proof: material/part/application demonstration.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[6] Yoma Bank — Currency Exchange Rates — https://www.yomabank.com/en/rates/ (published/accessed 2026-08-18). Supports: Dated indicative USD/MMK assumption: MMK 3,658 trade-related average selling price; rates are not binding.</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