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Signal to Story</w:t>
      </w:r>
    </w:p>
    <w:p>
      <w:pPr>
        <w:spacing w:after="100" w:line="252" w:lineRule="auto"/>
      </w:pPr>
      <w:r>
        <w:t>Telecom / Technology · Myanmar commercial context · Innovation exhibition + account-based marketing + partner demo theatre</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Telecom, cloud, connectivity or enterprise technology provider faces a specific commercial tension: Technology buyers are overwhelmed by feature-led claims, while operating teams need proof that connectivity changes an outcome. The opportunity is to change one behaviour — decision-makers diagnose a business bottleneck, witness a proof demo, and receive a tailored next-step workshop invitation. — so that the audience moves from passive interest to a measurable qualified enterprise meeting, proof-of-concept workshop or partner pipeline opportunity..</w:t>
      </w:r>
    </w:p>
    <w:p>
      <w:pPr>
        <w:spacing w:after="100" w:line="252" w:lineRule="auto"/>
      </w:pPr>
      <w:r>
        <w:t>The proposed platform is **Signal to Story**. Its promise is: “Make the signal visible in the result.” The architecture combines innovation exhibition + account-based marketing + partner demo theatre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150,000,000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enterprise meeting, proof-of-concept workshop or partner pipeline opportunity.</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telecom / technology, the commercial opportunity is to reduce one form of hesitation: technology buyers are overwhelmed by feature-led claims, while operating teams need proof that connectivity changes an outcome..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A technical buyer needs to recognise their own operational friction before they will accept a new technology conversation.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Telecom, cloud, connectivity or enterprise technology provider the easiest credible next step for the audience’s current need. The single behaviour change is: Decision-makers diagnose a business bottleneck, witness a proof demo, and receive a tailored next-step workshop invitation..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CIO/IT leads, operations directors, SME owners, system integrators and channel partners.</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**Signal to Story** turns the category’s abstract promise into a tangible proof moment. Promise: “Make the signal visible in the result.”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Friction-to-proof diagnostic wall.</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Three 12-minute demo theatres with measurable before/after.</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Partner Relay: integrator co-sells the next step.</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Meeting Pods: private, time-boxed conversations.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One-day exhibition with three proof theatres and pre-booked ABM meetings.; the distribution layer is LinkedIn ABM, email, partner databases, trade media, Facebook retargeting, sales enablement.; the conversion layer is Qualified enterprise meeting, proof-of-concept workshop or partner pipeline opportunity..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Yangon technology or hotel exhibition hall, TBC. Production direction: 30m x 18m exhibition plan, 3 demo pods, 6 meeting pods, LED spine, directional audio, accessible route..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signal_to_story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signal_to_story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Technical moderator, 3 solution demonstrators, 2 partner speakers TBC, no performers.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7,040,000</w:t>
            </w:r>
          </w:p>
        </w:tc>
        <w:tc>
          <w:tcPr>
            <w:tcW w:type="dxa" w:w="1461"/>
            <w:vAlign w:val="center"/>
          </w:tcPr>
          <w:p>
            <w:r/>
            <w:r>
              <w:rPr>
                <w:b w:val="0"/>
                <w:color w:val="2B2B2B"/>
                <w:sz w:val="16"/>
              </w:rPr>
              <w:t>12,000,000</w:t>
            </w:r>
          </w:p>
        </w:tc>
        <w:tc>
          <w:tcPr>
            <w:tcW w:type="dxa" w:w="1461"/>
            <w:vAlign w:val="center"/>
          </w:tcPr>
          <w:p>
            <w:r/>
            <w:r>
              <w:rPr>
                <w:b w:val="0"/>
                <w:color w:val="2B2B2B"/>
                <w:sz w:val="16"/>
              </w:rPr>
              <w:t>16,450,000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6,160,000</w:t>
            </w:r>
          </w:p>
        </w:tc>
        <w:tc>
          <w:tcPr>
            <w:tcW w:type="dxa" w:w="1461"/>
            <w:vAlign w:val="center"/>
          </w:tcPr>
          <w:p>
            <w:r/>
            <w:r>
              <w:rPr>
                <w:b w:val="0"/>
                <w:color w:val="2B2B2B"/>
                <w:sz w:val="16"/>
              </w:rPr>
              <w:t>10,500,000</w:t>
            </w:r>
          </w:p>
        </w:tc>
        <w:tc>
          <w:tcPr>
            <w:tcW w:type="dxa" w:w="1461"/>
            <w:vAlign w:val="center"/>
          </w:tcPr>
          <w:p>
            <w:r/>
            <w:r>
              <w:rPr>
                <w:b w:val="0"/>
                <w:color w:val="2B2B2B"/>
                <w:sz w:val="16"/>
              </w:rPr>
              <w:t>15,275,000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5,280,000</w:t>
            </w:r>
          </w:p>
        </w:tc>
        <w:tc>
          <w:tcPr>
            <w:tcW w:type="dxa" w:w="1461"/>
            <w:vAlign w:val="center"/>
          </w:tcPr>
          <w:p>
            <w:r/>
            <w:r>
              <w:rPr>
                <w:b w:val="0"/>
                <w:color w:val="2B2B2B"/>
                <w:sz w:val="16"/>
              </w:rPr>
              <w:t>9,000,000</w:t>
            </w:r>
          </w:p>
        </w:tc>
        <w:tc>
          <w:tcPr>
            <w:tcW w:type="dxa" w:w="1461"/>
            <w:vAlign w:val="center"/>
          </w:tcPr>
          <w:p>
            <w:r/>
            <w:r>
              <w:rPr>
                <w:b w:val="0"/>
                <w:color w:val="2B2B2B"/>
                <w:sz w:val="16"/>
              </w:rPr>
              <w:t>14,100,000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4,400,000</w:t>
            </w:r>
          </w:p>
        </w:tc>
        <w:tc>
          <w:tcPr>
            <w:tcW w:type="dxa" w:w="1461"/>
            <w:vAlign w:val="center"/>
          </w:tcPr>
          <w:p>
            <w:r/>
            <w:r>
              <w:rPr>
                <w:b w:val="0"/>
                <w:color w:val="2B2B2B"/>
                <w:sz w:val="16"/>
              </w:rPr>
              <w:t>7,500,000</w:t>
            </w:r>
          </w:p>
        </w:tc>
        <w:tc>
          <w:tcPr>
            <w:tcW w:type="dxa" w:w="1461"/>
            <w:vAlign w:val="center"/>
          </w:tcPr>
          <w:p>
            <w:r/>
            <w:r>
              <w:rPr>
                <w:b w:val="0"/>
                <w:color w:val="2B2B2B"/>
                <w:sz w:val="16"/>
              </w:rPr>
              <w:t>12,925,000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7,040,000</w:t>
            </w:r>
          </w:p>
        </w:tc>
        <w:tc>
          <w:tcPr>
            <w:tcW w:type="dxa" w:w="1461"/>
            <w:vAlign w:val="center"/>
          </w:tcPr>
          <w:p>
            <w:r/>
            <w:r>
              <w:rPr>
                <w:b w:val="0"/>
                <w:color w:val="2B2B2B"/>
                <w:sz w:val="16"/>
              </w:rPr>
              <w:t>12,000,000</w:t>
            </w:r>
          </w:p>
        </w:tc>
        <w:tc>
          <w:tcPr>
            <w:tcW w:type="dxa" w:w="1461"/>
            <w:vAlign w:val="center"/>
          </w:tcPr>
          <w:p>
            <w:r/>
            <w:r>
              <w:rPr>
                <w:b w:val="0"/>
                <w:color w:val="2B2B2B"/>
                <w:sz w:val="16"/>
              </w:rPr>
              <w:t>17,625,000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10,560,000</w:t>
            </w:r>
          </w:p>
        </w:tc>
        <w:tc>
          <w:tcPr>
            <w:tcW w:type="dxa" w:w="1461"/>
            <w:vAlign w:val="center"/>
          </w:tcPr>
          <w:p>
            <w:r/>
            <w:r>
              <w:rPr>
                <w:b w:val="0"/>
                <w:color w:val="2B2B2B"/>
                <w:sz w:val="16"/>
              </w:rPr>
              <w:t>18,000,000</w:t>
            </w:r>
          </w:p>
        </w:tc>
        <w:tc>
          <w:tcPr>
            <w:tcW w:type="dxa" w:w="1461"/>
            <w:vAlign w:val="center"/>
          </w:tcPr>
          <w:p>
            <w:r/>
            <w:r>
              <w:rPr>
                <w:b w:val="0"/>
                <w:color w:val="2B2B2B"/>
                <w:sz w:val="16"/>
              </w:rPr>
              <w:t>30,550,000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7,040,000</w:t>
            </w:r>
          </w:p>
        </w:tc>
        <w:tc>
          <w:tcPr>
            <w:tcW w:type="dxa" w:w="1461"/>
            <w:vAlign w:val="center"/>
          </w:tcPr>
          <w:p>
            <w:r/>
            <w:r>
              <w:rPr>
                <w:b w:val="0"/>
                <w:color w:val="2B2B2B"/>
                <w:sz w:val="16"/>
              </w:rPr>
              <w:t>13,500,000</w:t>
            </w:r>
          </w:p>
        </w:tc>
        <w:tc>
          <w:tcPr>
            <w:tcW w:type="dxa" w:w="1461"/>
            <w:vAlign w:val="center"/>
          </w:tcPr>
          <w:p>
            <w:r/>
            <w:r>
              <w:rPr>
                <w:b w:val="0"/>
                <w:color w:val="2B2B2B"/>
                <w:sz w:val="16"/>
              </w:rPr>
              <w:t>23,500,000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4,400,000</w:t>
            </w:r>
          </w:p>
        </w:tc>
        <w:tc>
          <w:tcPr>
            <w:tcW w:type="dxa" w:w="1461"/>
            <w:vAlign w:val="center"/>
          </w:tcPr>
          <w:p>
            <w:r/>
            <w:r>
              <w:rPr>
                <w:b w:val="0"/>
                <w:color w:val="2B2B2B"/>
                <w:sz w:val="16"/>
              </w:rPr>
              <w:t>7,500,000</w:t>
            </w:r>
          </w:p>
        </w:tc>
        <w:tc>
          <w:tcPr>
            <w:tcW w:type="dxa" w:w="1461"/>
            <w:vAlign w:val="center"/>
          </w:tcPr>
          <w:p>
            <w:r/>
            <w:r>
              <w:rPr>
                <w:b w:val="0"/>
                <w:color w:val="2B2B2B"/>
                <w:sz w:val="16"/>
              </w:rPr>
              <w:t>12,925,000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6,160,000</w:t>
            </w:r>
          </w:p>
        </w:tc>
        <w:tc>
          <w:tcPr>
            <w:tcW w:type="dxa" w:w="1461"/>
            <w:vAlign w:val="center"/>
          </w:tcPr>
          <w:p>
            <w:r/>
            <w:r>
              <w:rPr>
                <w:b w:val="0"/>
                <w:color w:val="2B2B2B"/>
                <w:sz w:val="16"/>
              </w:rPr>
              <w:t>13,500,000</w:t>
            </w:r>
          </w:p>
        </w:tc>
        <w:tc>
          <w:tcPr>
            <w:tcW w:type="dxa" w:w="1461"/>
            <w:vAlign w:val="center"/>
          </w:tcPr>
          <w:p>
            <w:r/>
            <w:r>
              <w:rPr>
                <w:b w:val="0"/>
                <w:color w:val="2B2B2B"/>
                <w:sz w:val="16"/>
              </w:rPr>
              <w:t>23,500,000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5,280,000</w:t>
            </w:r>
          </w:p>
        </w:tc>
        <w:tc>
          <w:tcPr>
            <w:tcW w:type="dxa" w:w="1461"/>
            <w:vAlign w:val="center"/>
          </w:tcPr>
          <w:p>
            <w:r/>
            <w:r>
              <w:rPr>
                <w:b w:val="0"/>
                <w:color w:val="2B2B2B"/>
                <w:sz w:val="16"/>
              </w:rPr>
              <w:t>10,500,000</w:t>
            </w:r>
          </w:p>
        </w:tc>
        <w:tc>
          <w:tcPr>
            <w:tcW w:type="dxa" w:w="1461"/>
            <w:vAlign w:val="center"/>
          </w:tcPr>
          <w:p>
            <w:r/>
            <w:r>
              <w:rPr>
                <w:b w:val="0"/>
                <w:color w:val="2B2B2B"/>
                <w:sz w:val="16"/>
              </w:rPr>
              <w:t>17,625,000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4,400,000</w:t>
            </w:r>
          </w:p>
        </w:tc>
        <w:tc>
          <w:tcPr>
            <w:tcW w:type="dxa" w:w="1461"/>
            <w:vAlign w:val="center"/>
          </w:tcPr>
          <w:p>
            <w:r/>
            <w:r>
              <w:rPr>
                <w:b w:val="0"/>
                <w:color w:val="2B2B2B"/>
                <w:sz w:val="16"/>
              </w:rPr>
              <w:t>7,500,000</w:t>
            </w:r>
          </w:p>
        </w:tc>
        <w:tc>
          <w:tcPr>
            <w:tcW w:type="dxa" w:w="1461"/>
            <w:vAlign w:val="center"/>
          </w:tcPr>
          <w:p>
            <w:r/>
            <w:r>
              <w:rPr>
                <w:b w:val="0"/>
                <w:color w:val="2B2B2B"/>
                <w:sz w:val="16"/>
              </w:rPr>
              <w:t>14,100,000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7,920,000</w:t>
            </w:r>
          </w:p>
        </w:tc>
        <w:tc>
          <w:tcPr>
            <w:tcW w:type="dxa" w:w="1461"/>
            <w:vAlign w:val="center"/>
          </w:tcPr>
          <w:p>
            <w:r/>
            <w:r>
              <w:rPr>
                <w:b w:val="0"/>
                <w:color w:val="2B2B2B"/>
                <w:sz w:val="16"/>
              </w:rPr>
              <w:t>13,500,000</w:t>
            </w:r>
          </w:p>
        </w:tc>
        <w:tc>
          <w:tcPr>
            <w:tcW w:type="dxa" w:w="1461"/>
            <w:vAlign w:val="center"/>
          </w:tcPr>
          <w:p>
            <w:r/>
            <w:r>
              <w:rPr>
                <w:b w:val="0"/>
                <w:color w:val="2B2B2B"/>
                <w:sz w:val="16"/>
              </w:rPr>
              <w:t>18,800,000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4,400,000</w:t>
            </w:r>
          </w:p>
        </w:tc>
        <w:tc>
          <w:tcPr>
            <w:tcW w:type="dxa" w:w="1461"/>
            <w:vAlign w:val="center"/>
          </w:tcPr>
          <w:p>
            <w:r/>
            <w:r>
              <w:rPr>
                <w:b w:val="0"/>
                <w:color w:val="2B2B2B"/>
                <w:sz w:val="16"/>
              </w:rPr>
              <w:t>7,500,000</w:t>
            </w:r>
          </w:p>
        </w:tc>
        <w:tc>
          <w:tcPr>
            <w:tcW w:type="dxa" w:w="1461"/>
            <w:vAlign w:val="center"/>
          </w:tcPr>
          <w:p>
            <w:r/>
            <w:r>
              <w:rPr>
                <w:b w:val="0"/>
                <w:color w:val="2B2B2B"/>
                <w:sz w:val="16"/>
              </w:rPr>
              <w:t>10,575,000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5,280,000</w:t>
            </w:r>
          </w:p>
        </w:tc>
        <w:tc>
          <w:tcPr>
            <w:tcW w:type="dxa" w:w="1461"/>
            <w:vAlign w:val="center"/>
          </w:tcPr>
          <w:p>
            <w:r/>
            <w:r>
              <w:rPr>
                <w:b w:val="0"/>
                <w:color w:val="2B2B2B"/>
                <w:sz w:val="16"/>
              </w:rPr>
              <w:t>9,000,000</w:t>
            </w:r>
          </w:p>
        </w:tc>
        <w:tc>
          <w:tcPr>
            <w:tcW w:type="dxa" w:w="1461"/>
            <w:vAlign w:val="center"/>
          </w:tcPr>
          <w:p>
            <w:r/>
            <w:r>
              <w:rPr>
                <w:b w:val="0"/>
                <w:color w:val="2B2B2B"/>
                <w:sz w:val="16"/>
              </w:rPr>
              <w:t>15,275,000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5,280,000</w:t>
            </w:r>
          </w:p>
        </w:tc>
        <w:tc>
          <w:tcPr>
            <w:tcW w:type="dxa" w:w="1461"/>
            <w:vAlign w:val="center"/>
          </w:tcPr>
          <w:p>
            <w:r/>
            <w:r>
              <w:rPr>
                <w:b w:val="0"/>
                <w:color w:val="2B2B2B"/>
                <w:sz w:val="16"/>
              </w:rPr>
              <w:t>9,000,000</w:t>
            </w:r>
          </w:p>
        </w:tc>
        <w:tc>
          <w:tcPr>
            <w:tcW w:type="dxa" w:w="1461"/>
            <w:vAlign w:val="center"/>
          </w:tcPr>
          <w:p>
            <w:r/>
            <w:r>
              <w:rPr>
                <w:b w:val="0"/>
                <w:color w:val="2B2B2B"/>
                <w:sz w:val="16"/>
              </w:rPr>
              <w:t>15,275,000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88,000,000</w:t>
            </w:r>
          </w:p>
        </w:tc>
        <w:tc>
          <w:tcPr>
            <w:tcW w:type="dxa" w:w="1461"/>
            <w:vAlign w:val="center"/>
          </w:tcPr>
          <w:p>
            <w:r/>
            <w:r>
              <w:rPr>
                <w:b w:val="0"/>
                <w:color w:val="2B2B2B"/>
                <w:sz w:val="16"/>
              </w:rPr>
              <w:t>150,000,000</w:t>
            </w:r>
          </w:p>
        </w:tc>
        <w:tc>
          <w:tcPr>
            <w:tcW w:type="dxa" w:w="1461"/>
            <w:vAlign w:val="center"/>
          </w:tcPr>
          <w:p>
            <w:r/>
            <w:r>
              <w:rPr>
                <w:b w:val="0"/>
                <w:color w:val="2B2B2B"/>
                <w:sz w:val="16"/>
              </w:rPr>
              <w:t>235,000,000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enterprise meeting, proof-of-concept workshop or partner pipeline opportunity.. Planning value per conversion: MMK 12,000,000; assumed contribution margin: 22%.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57</w:t>
            </w:r>
          </w:p>
        </w:tc>
        <w:tc>
          <w:tcPr>
            <w:tcW w:type="dxa" w:w="2045"/>
            <w:vAlign w:val="center"/>
          </w:tcPr>
          <w:p>
            <w:r/>
            <w:r>
              <w:rPr>
                <w:b w:val="0"/>
                <w:color w:val="2B2B2B"/>
                <w:sz w:val="16"/>
              </w:rPr>
              <w:t>MMK 150,480,000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97</w:t>
            </w:r>
          </w:p>
        </w:tc>
        <w:tc>
          <w:tcPr>
            <w:tcW w:type="dxa" w:w="2045"/>
            <w:vAlign w:val="center"/>
          </w:tcPr>
          <w:p>
            <w:r/>
            <w:r>
              <w:rPr>
                <w:b w:val="0"/>
                <w:color w:val="2B2B2B"/>
                <w:sz w:val="16"/>
              </w:rPr>
              <w:t>MMK 256,080,000</w:t>
            </w:r>
          </w:p>
        </w:tc>
        <w:tc>
          <w:tcPr>
            <w:tcW w:type="dxa" w:w="2045"/>
            <w:vAlign w:val="center"/>
          </w:tcPr>
          <w:p>
            <w:r/>
            <w:r>
              <w:rPr>
                <w:b w:val="0"/>
                <w:color w:val="2B2B2B"/>
                <w:sz w:val="16"/>
              </w:rPr>
              <w:t>71%</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114</w:t>
            </w:r>
          </w:p>
        </w:tc>
        <w:tc>
          <w:tcPr>
            <w:tcW w:type="dxa" w:w="2045"/>
            <w:vAlign w:val="center"/>
          </w:tcPr>
          <w:p>
            <w:r/>
            <w:r>
              <w:rPr>
                <w:b w:val="0"/>
                <w:color w:val="2B2B2B"/>
                <w:sz w:val="16"/>
              </w:rPr>
              <w:t>MMK 300,960,000</w:t>
            </w:r>
          </w:p>
        </w:tc>
        <w:tc>
          <w:tcPr>
            <w:tcW w:type="dxa" w:w="2045"/>
            <w:vAlign w:val="center"/>
          </w:tcPr>
          <w:p>
            <w:r/>
            <w:r>
              <w:rPr>
                <w:b w:val="0"/>
                <w:color w:val="2B2B2B"/>
                <w:sz w:val="16"/>
              </w:rPr>
              <w:t>101%</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57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Telecom, cloud, connectivity or enterprise technology provider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Technical failure, data privacy, claims substantiation, imported equipment lead time.</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friction-to-proof diagnostic wall. and three 12-minute demo theatres with measurable before/after.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[4] LOTTE HOTEL YANGON — Event Spaces — https://www.lottehotel.com/yangon-hotel/en/wedding-convention/convention/overview (published/accessed accessed 2026-08-20). Supports: Venue capacity and event-space existence; live page presented a bot challenge, so quotation required.</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