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E8834"/>
          <w:sz w:val="22"/>
        </w:rPr>
        <w:t>ZYNTH</w:t>
      </w:r>
      <w:r>
        <w:rPr>
          <w:sz w:val="17"/>
        </w:rPr>
        <w:t xml:space="preserve">  |  Myanmar-First Bilingual Production System</w:t>
      </w:r>
    </w:p>
    <w:p>
      <w:pPr>
        <w:pStyle w:val="Title"/>
      </w:pPr>
      <w:r>
        <w:t>The Handover</w:t>
      </w:r>
    </w:p>
    <w:p>
      <w:r>
        <w:rPr>
          <w:rFonts w:ascii="Noto Sans Myanmar" w:hAnsi="Noto Sans Myanmar" w:eastAsia="Noto Sans Myanmar"/>
          <w:color w:val="1A6A68"/>
          <w:sz w:val="30"/>
        </w:rPr>
        <w:t>လွှဲပြောင်းချိန်</w:t>
      </w:r>
    </w:p>
    <w:p>
      <w:r>
        <w:rPr>
          <w:b/>
          <w:color w:val="6B7280"/>
          <w:sz w:val="18"/>
        </w:rPr>
        <w:t>STANDALONE COMMERCIAL + STORYBOARD DIRECTION  •  COM-2026-LOGISTICS-01  •  Logistics / Myanmar</w:t>
      </w:r>
    </w:p>
    <w:tbl>
      <w:tblPr>
        <w:tblW w:type="auto" w:w="0"/>
        <w:jc w:val="left"/>
        <w:tblLook w:firstColumn="1" w:firstRow="1" w:lastColumn="0" w:lastRow="0" w:noHBand="0" w:noVBand="1" w:val="04A0"/>
      </w:tblPr>
      <w:tblGrid>
        <w:gridCol w:w="10512"/>
      </w:tblGrid>
      <w:tr>
        <w:tc>
          <w:tcPr>
            <w:tcW w:type="dxa" w:w="10512"/>
            <w:shd w:fill="EAF1F6"/>
            <w:vAlign w:val="center"/>
          </w:tcPr>
          <w:p>
            <w:pPr>
              <w:spacing w:after="0"/>
            </w:pPr>
            <w:r/>
            <w:r>
              <w:rPr>
                <w:rFonts w:ascii="Noto Sans Myanmar" w:hAnsi="Noto Sans Myanmar" w:eastAsia="Noto Sans Myanmar"/>
                <w:b/>
                <w:color w:val="173A5E"/>
                <w:sz w:val="18"/>
              </w:rPr>
              <w:t>Client-ready planning proposal. All client, customer, carrier, fleet, route, port, warehouse, data, price, capacity, safety, permit, rights, partner and performance elements are proposed/TBC until written approval.</w:t>
            </w:r>
          </w:p>
        </w:tc>
      </w:tr>
    </w:tbl>
    <w:p>
      <w:pPr>
        <w:pStyle w:val="Heading1"/>
      </w:pPr>
      <w:r>
        <w:t>1. Film Brief</w:t>
      </w:r>
    </w:p>
    <w:p>
      <w:r>
        <w:rPr>
          <w:rFonts w:ascii="Noto Sans Myanmar" w:hAnsi="Noto Sans Myanmar" w:eastAsia="Noto Sans Myanmar"/>
          <w:i/>
          <w:color w:val="6B7280"/>
          <w:sz w:val="17"/>
        </w:rPr>
        <w:t>ဖիլմအကျဉ်းချုပ်</w:t>
      </w:r>
    </w:p>
    <w:tbl>
      <w:tblPr>
        <w:tblStyle w:val="TableGrid"/>
        <w:tblW w:type="auto" w:w="0"/>
        <w:jc w:val="left"/>
        <w:tblLook w:firstColumn="1" w:firstRow="1" w:lastColumn="0" w:lastRow="0" w:noHBand="0" w:noVBand="1" w:val="04A0"/>
      </w:tblPr>
      <w:tblGrid>
        <w:gridCol w:w="5256"/>
        <w:gridCol w:w="5256"/>
      </w:tblGrid>
      <w:tr>
        <w:tc>
          <w:tcPr>
            <w:tcW w:type="dxa" w:w="5256"/>
            <w:shd w:fill="EAF1F6"/>
            <w:vAlign w:val="center"/>
          </w:tcPr>
          <w:p>
            <w:pPr>
              <w:spacing w:after="0"/>
            </w:pPr>
            <w:r/>
            <w:r>
              <w:rPr>
                <w:rFonts w:ascii="Noto Sans Myanmar" w:hAnsi="Noto Sans Myanmar" w:eastAsia="Noto Sans Myanmar"/>
                <w:b/>
                <w:color w:val="173A5E"/>
                <w:sz w:val="16"/>
              </w:rPr>
              <w:t>Format</w:t>
            </w:r>
          </w:p>
        </w:tc>
        <w:tc>
          <w:tcPr>
            <w:tcW w:type="dxa" w:w="5256"/>
            <w:vAlign w:val="center"/>
          </w:tcPr>
          <w:p>
            <w:pPr>
              <w:spacing w:after="0"/>
            </w:pPr>
            <w:r/>
            <w:r>
              <w:rPr>
                <w:rFonts w:ascii="Noto Sans Myanmar" w:hAnsi="Noto Sans Myanmar" w:eastAsia="Noto Sans Myanmar"/>
                <w:b w:val="0"/>
                <w:color w:val="1F2933"/>
                <w:sz w:val="16"/>
              </w:rPr>
              <w:t>B2B brand film</w:t>
            </w:r>
          </w:p>
        </w:tc>
      </w:tr>
      <w:tr>
        <w:tc>
          <w:tcPr>
            <w:tcW w:type="dxa" w:w="5256"/>
            <w:shd w:fill="EAF1F6"/>
            <w:vAlign w:val="center"/>
          </w:tcPr>
          <w:p>
            <w:pPr>
              <w:spacing w:after="0"/>
            </w:pPr>
            <w:r/>
            <w:r>
              <w:rPr>
                <w:rFonts w:ascii="Noto Sans Myanmar" w:hAnsi="Noto Sans Myanmar" w:eastAsia="Noto Sans Myanmar"/>
                <w:b/>
                <w:color w:val="173A5E"/>
                <w:sz w:val="16"/>
              </w:rPr>
              <w:t>Linked campaign</w:t>
            </w:r>
          </w:p>
        </w:tc>
        <w:tc>
          <w:tcPr>
            <w:tcW w:type="dxa" w:w="5256"/>
            <w:vAlign w:val="center"/>
          </w:tcPr>
          <w:p>
            <w:pPr>
              <w:spacing w:after="0"/>
            </w:pPr>
            <w:r/>
            <w:r>
              <w:rPr>
                <w:rFonts w:ascii="Noto Sans Myanmar" w:hAnsi="Noto Sans Myanmar" w:eastAsia="Noto Sans Myanmar"/>
                <w:b w:val="0"/>
                <w:color w:val="1F2933"/>
                <w:sz w:val="16"/>
              </w:rPr>
              <w:t>CMP-2026-LOGISTICS-01</w:t>
            </w:r>
          </w:p>
        </w:tc>
      </w:tr>
      <w:tr>
        <w:tc>
          <w:tcPr>
            <w:tcW w:type="dxa" w:w="5256"/>
            <w:shd w:fill="EAF1F6"/>
            <w:vAlign w:val="center"/>
          </w:tcPr>
          <w:p>
            <w:pPr>
              <w:spacing w:after="0"/>
            </w:pPr>
            <w:r/>
            <w:r>
              <w:rPr>
                <w:rFonts w:ascii="Noto Sans Myanmar" w:hAnsi="Noto Sans Myanmar" w:eastAsia="Noto Sans Myanmar"/>
                <w:b/>
                <w:color w:val="173A5E"/>
                <w:sz w:val="16"/>
              </w:rPr>
              <w:t>Commercial tension</w:t>
            </w:r>
          </w:p>
        </w:tc>
        <w:tc>
          <w:tcPr>
            <w:tcW w:type="dxa" w:w="5256"/>
            <w:vAlign w:val="center"/>
          </w:tcPr>
          <w:p>
            <w:pPr>
              <w:spacing w:after="0"/>
            </w:pPr>
            <w:r/>
            <w:r>
              <w:rPr>
                <w:rFonts w:ascii="Noto Sans Myanmar" w:hAnsi="Noto Sans Myanmar" w:eastAsia="Noto Sans Myanmar"/>
                <w:b w:val="0"/>
                <w:color w:val="1F2933"/>
                <w:sz w:val="16"/>
              </w:rPr>
              <w:t>Customers can be told an item is moving, but cannot see who owns the next handover or what information will travel with it.</w:t>
            </w:r>
          </w:p>
        </w:tc>
      </w:tr>
      <w:tr>
        <w:tc>
          <w:tcPr>
            <w:tcW w:type="dxa" w:w="5256"/>
            <w:shd w:fill="EAF1F6"/>
            <w:vAlign w:val="center"/>
          </w:tcPr>
          <w:p>
            <w:pPr>
              <w:spacing w:after="0"/>
            </w:pPr>
            <w:r/>
            <w:r>
              <w:rPr>
                <w:rFonts w:ascii="Noto Sans Myanmar" w:hAnsi="Noto Sans Myanmar" w:eastAsia="Noto Sans Myanmar"/>
                <w:b/>
                <w:color w:val="173A5E"/>
                <w:sz w:val="16"/>
              </w:rPr>
              <w:t>Objective</w:t>
            </w:r>
          </w:p>
        </w:tc>
        <w:tc>
          <w:tcPr>
            <w:tcW w:type="dxa" w:w="5256"/>
            <w:vAlign w:val="center"/>
          </w:tcPr>
          <w:p>
            <w:pPr>
              <w:spacing w:after="0"/>
            </w:pPr>
            <w:r/>
            <w:r>
              <w:rPr>
                <w:rFonts w:ascii="Noto Sans Myanmar" w:hAnsi="Noto Sans Myanmar" w:eastAsia="Noto Sans Myanmar"/>
                <w:b w:val="0"/>
                <w:color w:val="1F2933"/>
                <w:sz w:val="16"/>
              </w:rPr>
              <w:t>Create a client-approved discovery-conversation CTA through a controlled creative treatment; no operational or performance result is promised.</w:t>
            </w:r>
          </w:p>
        </w:tc>
      </w:tr>
      <w:tr>
        <w:tc>
          <w:tcPr>
            <w:tcW w:type="dxa" w:w="5256"/>
            <w:shd w:fill="EAF1F6"/>
            <w:vAlign w:val="center"/>
          </w:tcPr>
          <w:p>
            <w:pPr>
              <w:spacing w:after="0"/>
            </w:pPr>
            <w:r/>
            <w:r>
              <w:rPr>
                <w:rFonts w:ascii="Noto Sans Myanmar" w:hAnsi="Noto Sans Myanmar" w:eastAsia="Noto Sans Myanmar"/>
                <w:b/>
                <w:color w:val="173A5E"/>
                <w:sz w:val="16"/>
              </w:rPr>
              <w:t>Creative territory</w:t>
            </w:r>
          </w:p>
        </w:tc>
        <w:tc>
          <w:tcPr>
            <w:tcW w:type="dxa" w:w="5256"/>
            <w:vAlign w:val="center"/>
          </w:tcPr>
          <w:p>
            <w:pPr>
              <w:spacing w:after="0"/>
            </w:pPr>
            <w:r/>
            <w:r>
              <w:rPr>
                <w:rFonts w:ascii="Noto Sans Myanmar" w:hAnsi="Noto Sans Myanmar" w:eastAsia="Noto Sans Myanmar"/>
                <w:b w:val="0"/>
                <w:color w:val="1F2933"/>
                <w:sz w:val="16"/>
              </w:rPr>
              <w:t>A clear handover is a promise that stays legible</w:t>
            </w:r>
          </w:p>
        </w:tc>
      </w:tr>
      <w:tr>
        <w:tc>
          <w:tcPr>
            <w:tcW w:type="dxa" w:w="5256"/>
            <w:shd w:fill="EAF1F6"/>
            <w:vAlign w:val="center"/>
          </w:tcPr>
          <w:p>
            <w:pPr>
              <w:spacing w:after="0"/>
            </w:pPr>
            <w:r/>
            <w:r>
              <w:rPr>
                <w:rFonts w:ascii="Noto Sans Myanmar" w:hAnsi="Noto Sans Myanmar" w:eastAsia="Noto Sans Myanmar"/>
                <w:b/>
                <w:color w:val="173A5E"/>
                <w:sz w:val="16"/>
              </w:rPr>
              <w:t>Visual style</w:t>
            </w:r>
          </w:p>
        </w:tc>
        <w:tc>
          <w:tcPr>
            <w:tcW w:type="dxa" w:w="5256"/>
            <w:vAlign w:val="center"/>
          </w:tcPr>
          <w:p>
            <w:pPr>
              <w:spacing w:after="0"/>
            </w:pPr>
            <w:r/>
            <w:r>
              <w:rPr>
                <w:rFonts w:ascii="Noto Sans Myanmar" w:hAnsi="Noto Sans Myanmar" w:eastAsia="Noto Sans Myanmar"/>
                <w:b w:val="0"/>
                <w:color w:val="1F2933"/>
                <w:sz w:val="16"/>
              </w:rPr>
              <w:t>quiet precision, paper texture, cobalt route lines</w:t>
            </w:r>
          </w:p>
        </w:tc>
      </w:tr>
      <w:tr>
        <w:tc>
          <w:tcPr>
            <w:tcW w:type="dxa" w:w="5256"/>
            <w:shd w:fill="EAF1F6"/>
            <w:vAlign w:val="center"/>
          </w:tcPr>
          <w:p>
            <w:pPr>
              <w:spacing w:after="0"/>
            </w:pPr>
            <w:r/>
            <w:r>
              <w:rPr>
                <w:rFonts w:ascii="Noto Sans Myanmar" w:hAnsi="Noto Sans Myanmar" w:eastAsia="Noto Sans Myanmar"/>
                <w:b/>
                <w:color w:val="173A5E"/>
                <w:sz w:val="16"/>
              </w:rPr>
              <w:t>Storyboard status</w:t>
            </w:r>
          </w:p>
        </w:tc>
        <w:tc>
          <w:tcPr>
            <w:tcW w:type="dxa" w:w="5256"/>
            <w:vAlign w:val="center"/>
          </w:tcPr>
          <w:p>
            <w:pPr>
              <w:spacing w:after="0"/>
            </w:pPr>
            <w:r/>
            <w:r>
              <w:rPr>
                <w:rFonts w:ascii="Noto Sans Myanmar" w:hAnsi="Noto Sans Myanmar" w:eastAsia="Noto Sans Myanmar"/>
                <w:b w:val="0"/>
                <w:color w:val="1F2933"/>
                <w:sz w:val="16"/>
              </w:rPr>
              <w:t>12-frame detailed storyboard complete; all production elements proposed/TBC</w:t>
            </w:r>
          </w:p>
        </w:tc>
      </w:tr>
    </w:tbl>
    <w:p/>
    <w:p>
      <w:pPr>
        <w:pStyle w:val="Heading1"/>
      </w:pPr>
      <w:r>
        <w:t>2. 12-Frame Detailed Storyboard</w:t>
      </w:r>
    </w:p>
    <w:p>
      <w:r>
        <w:rPr>
          <w:rFonts w:ascii="Noto Sans Myanmar" w:hAnsi="Noto Sans Myanmar" w:eastAsia="Noto Sans Myanmar"/>
          <w:i/>
          <w:color w:val="6B7280"/>
          <w:sz w:val="17"/>
        </w:rPr>
        <w:t>အသေးစိတ် Storyboard ၁၂ ခန်း</w:t>
      </w:r>
    </w:p>
    <w:tbl>
      <w:tblPr>
        <w:tblStyle w:val="TableGrid"/>
        <w:tblW w:type="auto" w:w="0"/>
        <w:jc w:val="left"/>
        <w:tblLook w:firstColumn="1" w:firstRow="1" w:lastColumn="0" w:lastRow="0" w:noHBand="0" w:noVBand="1" w:val="04A0"/>
      </w:tblPr>
      <w:tblGrid>
        <w:gridCol w:w="1752"/>
        <w:gridCol w:w="1752"/>
        <w:gridCol w:w="1752"/>
        <w:gridCol w:w="1752"/>
        <w:gridCol w:w="1752"/>
        <w:gridCol w:w="1752"/>
      </w:tblGrid>
      <w:tr>
        <w:tc>
          <w:tcPr>
            <w:tcW w:type="dxa" w:w="1752"/>
            <w:shd w:fill="173A5E"/>
            <w:vAlign w:val="center"/>
          </w:tcPr>
          <w:p>
            <w:pPr>
              <w:spacing w:after="0"/>
            </w:pPr>
            <w:r/>
            <w:r>
              <w:rPr>
                <w:rFonts w:ascii="Noto Sans Myanmar" w:hAnsi="Noto Sans Myanmar" w:eastAsia="Noto Sans Myanmar"/>
                <w:b/>
                <w:color w:val="FFFFFF"/>
                <w:sz w:val="12"/>
              </w:rPr>
              <w:t>Frame / time</w:t>
            </w:r>
          </w:p>
        </w:tc>
        <w:tc>
          <w:tcPr>
            <w:tcW w:type="dxa" w:w="1752"/>
            <w:shd w:fill="173A5E"/>
            <w:vAlign w:val="center"/>
          </w:tcPr>
          <w:p>
            <w:pPr>
              <w:spacing w:after="0"/>
            </w:pPr>
            <w:r/>
            <w:r>
              <w:rPr>
                <w:rFonts w:ascii="Noto Sans Myanmar" w:hAnsi="Noto Sans Myanmar" w:eastAsia="Noto Sans Myanmar"/>
                <w:b/>
                <w:color w:val="FFFFFF"/>
                <w:sz w:val="12"/>
              </w:rPr>
              <w:t>Beat</w:t>
            </w:r>
          </w:p>
        </w:tc>
        <w:tc>
          <w:tcPr>
            <w:tcW w:type="dxa" w:w="1752"/>
            <w:shd w:fill="173A5E"/>
            <w:vAlign w:val="center"/>
          </w:tcPr>
          <w:p>
            <w:pPr>
              <w:spacing w:after="0"/>
            </w:pPr>
            <w:r/>
            <w:r>
              <w:rPr>
                <w:rFonts w:ascii="Noto Sans Myanmar" w:hAnsi="Noto Sans Myanmar" w:eastAsia="Noto Sans Myanmar"/>
                <w:b/>
                <w:color w:val="FFFFFF"/>
                <w:sz w:val="12"/>
              </w:rPr>
              <w:t>Visual action</w:t>
            </w:r>
          </w:p>
        </w:tc>
        <w:tc>
          <w:tcPr>
            <w:tcW w:type="dxa" w:w="1752"/>
            <w:shd w:fill="173A5E"/>
            <w:vAlign w:val="center"/>
          </w:tcPr>
          <w:p>
            <w:pPr>
              <w:spacing w:after="0"/>
            </w:pPr>
            <w:r/>
            <w:r>
              <w:rPr>
                <w:rFonts w:ascii="Noto Sans Myanmar" w:hAnsi="Noto Sans Myanmar" w:eastAsia="Noto Sans Myanmar"/>
                <w:b/>
                <w:color w:val="FFFFFF"/>
                <w:sz w:val="12"/>
              </w:rPr>
              <w:t>Camera / lens / movement</w:t>
            </w:r>
          </w:p>
        </w:tc>
        <w:tc>
          <w:tcPr>
            <w:tcW w:type="dxa" w:w="1752"/>
            <w:shd w:fill="173A5E"/>
            <w:vAlign w:val="center"/>
          </w:tcPr>
          <w:p>
            <w:pPr>
              <w:spacing w:after="0"/>
            </w:pPr>
            <w:r/>
            <w:r>
              <w:rPr>
                <w:rFonts w:ascii="Noto Sans Myanmar" w:hAnsi="Noto Sans Myanmar" w:eastAsia="Noto Sans Myanmar"/>
                <w:b/>
                <w:color w:val="FFFFFF"/>
                <w:sz w:val="12"/>
              </w:rPr>
              <w:t>Sound / ambience</w:t>
            </w:r>
          </w:p>
        </w:tc>
        <w:tc>
          <w:tcPr>
            <w:tcW w:type="dxa" w:w="1752"/>
            <w:shd w:fill="173A5E"/>
            <w:vAlign w:val="center"/>
          </w:tcPr>
          <w:p>
            <w:pPr>
              <w:spacing w:after="0"/>
            </w:pPr>
            <w:r/>
            <w:r>
              <w:rPr>
                <w:rFonts w:ascii="Noto Sans Myanmar" w:hAnsi="Noto Sans Myanmar" w:eastAsia="Noto Sans Myanmar"/>
                <w:b/>
                <w:color w:val="FFFFFF"/>
                <w:sz w:val="12"/>
              </w:rPr>
              <w:t>On-screen copy</w:t>
            </w:r>
          </w:p>
        </w:tc>
      </w:tr>
      <w:tr>
        <w:tc>
          <w:tcPr>
            <w:tcW w:type="dxa" w:w="1752"/>
            <w:shd w:fill="F8FAFC"/>
            <w:vAlign w:val="center"/>
          </w:tcPr>
          <w:p>
            <w:pPr>
              <w:spacing w:after="0"/>
            </w:pPr>
            <w:r/>
            <w:r>
              <w:rPr>
                <w:rFonts w:ascii="Noto Sans Myanmar" w:hAnsi="Noto Sans Myanmar" w:eastAsia="Noto Sans Myanmar"/>
                <w:b w:val="0"/>
                <w:color w:val="1F2933"/>
                <w:sz w:val="12"/>
              </w:rPr>
              <w:t>01 | 0:00–0:03</w:t>
            </w:r>
          </w:p>
        </w:tc>
        <w:tc>
          <w:tcPr>
            <w:tcW w:type="dxa" w:w="1752"/>
            <w:shd w:fill="F8FAFC"/>
            <w:vAlign w:val="center"/>
          </w:tcPr>
          <w:p>
            <w:pPr>
              <w:spacing w:after="0"/>
            </w:pPr>
            <w:r/>
            <w:r>
              <w:rPr>
                <w:rFonts w:ascii="Noto Sans Myanmar" w:hAnsi="Noto Sans Myanmar" w:eastAsia="Noto Sans Myanmar"/>
                <w:b w:val="0"/>
                <w:color w:val="1F2933"/>
                <w:sz w:val="12"/>
              </w:rPr>
              <w:t>Tension establishes</w:t>
            </w:r>
          </w:p>
        </w:tc>
        <w:tc>
          <w:tcPr>
            <w:tcW w:type="dxa" w:w="1752"/>
            <w:shd w:fill="F8FAFC"/>
            <w:vAlign w:val="center"/>
          </w:tcPr>
          <w:p>
            <w:pPr>
              <w:spacing w:after="0"/>
            </w:pPr>
            <w:r/>
            <w:r>
              <w:rPr>
                <w:rFonts w:ascii="Noto Sans Myanmar" w:hAnsi="Noto Sans Myanmar" w:eastAsia="Noto Sans Myanmar"/>
                <w:b w:val="0"/>
                <w:color w:val="1F2933"/>
                <w:sz w:val="12"/>
              </w:rPr>
              <w:t>A single controlled detail introduces the uncertainty at the centre of the logistics decision.</w:t>
            </w:r>
          </w:p>
        </w:tc>
        <w:tc>
          <w:tcPr>
            <w:tcW w:type="dxa" w:w="1752"/>
            <w:shd w:fill="F8FAFC"/>
            <w:vAlign w:val="center"/>
          </w:tcPr>
          <w:p>
            <w:pPr>
              <w:spacing w:after="0"/>
            </w:pPr>
            <w:r/>
            <w:r>
              <w:rPr>
                <w:rFonts w:ascii="Noto Sans Myanmar" w:hAnsi="Noto Sans Myanmar" w:eastAsia="Noto Sans Myanmar"/>
                <w:b w:val="0"/>
                <w:color w:val="1F2933"/>
                <w:sz w:val="12"/>
              </w:rPr>
              <w:t>Macro insert; 85mm; shallow focus; slow push-in</w:t>
            </w:r>
          </w:p>
        </w:tc>
        <w:tc>
          <w:tcPr>
            <w:tcW w:type="dxa" w:w="1752"/>
            <w:shd w:fill="F8FAFC"/>
            <w:vAlign w:val="center"/>
          </w:tcPr>
          <w:p>
            <w:pPr>
              <w:spacing w:after="0"/>
            </w:pPr>
            <w:r/>
            <w:r>
              <w:rPr>
                <w:rFonts w:ascii="Noto Sans Myanmar" w:hAnsi="Noto Sans Myanmar" w:eastAsia="Noto Sans Myanmar"/>
                <w:b w:val="0"/>
                <w:color w:val="1F2933"/>
                <w:sz w:val="12"/>
              </w:rPr>
              <w:t>Sparse room tone; one restrained percussive tick</w:t>
            </w:r>
          </w:p>
        </w:tc>
        <w:tc>
          <w:tcPr>
            <w:tcW w:type="dxa" w:w="1752"/>
            <w:shd w:fill="F8FAFC"/>
            <w:vAlign w:val="center"/>
          </w:tcPr>
          <w:p>
            <w:pPr>
              <w:spacing w:after="0"/>
            </w:pPr>
            <w:r/>
            <w:r>
              <w:rPr>
                <w:rFonts w:ascii="Noto Sans Myanmar" w:hAnsi="Noto Sans Myanmar" w:eastAsia="Noto Sans Myanmar"/>
                <w:b w:val="0"/>
                <w:color w:val="1F2933"/>
                <w:sz w:val="12"/>
              </w:rPr>
              <w:t>What happens next?</w:t>
            </w:r>
          </w:p>
        </w:tc>
      </w:tr>
      <w:tr>
        <w:tc>
          <w:tcPr>
            <w:tcW w:type="dxa" w:w="1752"/>
            <w:vAlign w:val="center"/>
          </w:tcPr>
          <w:p>
            <w:pPr>
              <w:spacing w:after="0"/>
            </w:pPr>
            <w:r/>
            <w:r>
              <w:rPr>
                <w:rFonts w:ascii="Noto Sans Myanmar" w:hAnsi="Noto Sans Myanmar" w:eastAsia="Noto Sans Myanmar"/>
                <w:b w:val="0"/>
                <w:color w:val="1F2933"/>
                <w:sz w:val="12"/>
              </w:rPr>
              <w:t>02 | 0:03–0:06</w:t>
            </w:r>
          </w:p>
        </w:tc>
        <w:tc>
          <w:tcPr>
            <w:tcW w:type="dxa" w:w="1752"/>
            <w:vAlign w:val="center"/>
          </w:tcPr>
          <w:p>
            <w:pPr>
              <w:spacing w:after="0"/>
            </w:pPr>
            <w:r/>
            <w:r>
              <w:rPr>
                <w:rFonts w:ascii="Noto Sans Myanmar" w:hAnsi="Noto Sans Myanmar" w:eastAsia="Noto Sans Myanmar"/>
                <w:b w:val="0"/>
                <w:color w:val="1F2933"/>
                <w:sz w:val="12"/>
              </w:rPr>
              <w:t>Human owner appears</w:t>
            </w:r>
          </w:p>
        </w:tc>
        <w:tc>
          <w:tcPr>
            <w:tcW w:type="dxa" w:w="1752"/>
            <w:vAlign w:val="center"/>
          </w:tcPr>
          <w:p>
            <w:pPr>
              <w:spacing w:after="0"/>
            </w:pPr>
            <w:r/>
            <w:r>
              <w:rPr>
                <w:rFonts w:ascii="Noto Sans Myanmar" w:hAnsi="Noto Sans Myanmar" w:eastAsia="Noto Sans Myanmar"/>
                <w:b w:val="0"/>
                <w:color w:val="1F2933"/>
                <w:sz w:val="12"/>
              </w:rPr>
              <w:t>A protagonist notices the small point where a handover, message or decision could become unclear.</w:t>
            </w:r>
          </w:p>
        </w:tc>
        <w:tc>
          <w:tcPr>
            <w:tcW w:type="dxa" w:w="1752"/>
            <w:vAlign w:val="center"/>
          </w:tcPr>
          <w:p>
            <w:pPr>
              <w:spacing w:after="0"/>
            </w:pPr>
            <w:r/>
            <w:r>
              <w:rPr>
                <w:rFonts w:ascii="Noto Sans Myanmar" w:hAnsi="Noto Sans Myanmar" w:eastAsia="Noto Sans Myanmar"/>
                <w:b w:val="0"/>
                <w:color w:val="1F2933"/>
                <w:sz w:val="12"/>
              </w:rPr>
              <w:t>Medium profile; 50mm; static composition</w:t>
            </w:r>
          </w:p>
        </w:tc>
        <w:tc>
          <w:tcPr>
            <w:tcW w:type="dxa" w:w="1752"/>
            <w:vAlign w:val="center"/>
          </w:tcPr>
          <w:p>
            <w:pPr>
              <w:spacing w:after="0"/>
            </w:pPr>
            <w:r/>
            <w:r>
              <w:rPr>
                <w:rFonts w:ascii="Noto Sans Myanmar" w:hAnsi="Noto Sans Myanmar" w:eastAsia="Noto Sans Myanmar"/>
                <w:b w:val="0"/>
                <w:color w:val="1F2933"/>
                <w:sz w:val="12"/>
              </w:rPr>
              <w:t>Subtle fabric/paper/interface foley</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03 | 0:06–0:09</w:t>
            </w:r>
          </w:p>
        </w:tc>
        <w:tc>
          <w:tcPr>
            <w:tcW w:type="dxa" w:w="1752"/>
            <w:shd w:fill="F8FAFC"/>
            <w:vAlign w:val="center"/>
          </w:tcPr>
          <w:p>
            <w:pPr>
              <w:spacing w:after="0"/>
            </w:pPr>
            <w:r/>
            <w:r>
              <w:rPr>
                <w:rFonts w:ascii="Noto Sans Myanmar" w:hAnsi="Noto Sans Myanmar" w:eastAsia="Noto Sans Myanmar"/>
                <w:b w:val="0"/>
                <w:color w:val="1F2933"/>
                <w:sz w:val="12"/>
              </w:rPr>
              <w:t>Question becomes visible</w:t>
            </w:r>
          </w:p>
        </w:tc>
        <w:tc>
          <w:tcPr>
            <w:tcW w:type="dxa" w:w="1752"/>
            <w:shd w:fill="F8FAFC"/>
            <w:vAlign w:val="center"/>
          </w:tcPr>
          <w:p>
            <w:pPr>
              <w:spacing w:after="0"/>
            </w:pPr>
            <w:r/>
            <w:r>
              <w:rPr>
                <w:rFonts w:ascii="Noto Sans Myanmar" w:hAnsi="Noto Sans Myanmar" w:eastAsia="Noto Sans Myanmar"/>
                <w:b w:val="0"/>
                <w:color w:val="1F2933"/>
                <w:sz w:val="12"/>
              </w:rPr>
              <w:t>The question is written, selected or placed on a non-sensitive fictional process surface.</w:t>
            </w:r>
          </w:p>
        </w:tc>
        <w:tc>
          <w:tcPr>
            <w:tcW w:type="dxa" w:w="1752"/>
            <w:shd w:fill="F8FAFC"/>
            <w:vAlign w:val="center"/>
          </w:tcPr>
          <w:p>
            <w:pPr>
              <w:spacing w:after="0"/>
            </w:pPr>
            <w:r/>
            <w:r>
              <w:rPr>
                <w:rFonts w:ascii="Noto Sans Myanmar" w:hAnsi="Noto Sans Myanmar" w:eastAsia="Noto Sans Myanmar"/>
                <w:b w:val="0"/>
                <w:color w:val="1F2933"/>
                <w:sz w:val="12"/>
              </w:rPr>
              <w:t>Top-down; 35mm; deliberate lock-off</w:t>
            </w:r>
          </w:p>
        </w:tc>
        <w:tc>
          <w:tcPr>
            <w:tcW w:type="dxa" w:w="1752"/>
            <w:shd w:fill="F8FAFC"/>
            <w:vAlign w:val="center"/>
          </w:tcPr>
          <w:p>
            <w:pPr>
              <w:spacing w:after="0"/>
            </w:pPr>
            <w:r/>
            <w:r>
              <w:rPr>
                <w:rFonts w:ascii="Noto Sans Myanmar" w:hAnsi="Noto Sans Myanmar" w:eastAsia="Noto Sans Myanmar"/>
                <w:b w:val="0"/>
                <w:color w:val="1F2933"/>
                <w:sz w:val="12"/>
              </w:rPr>
              <w:t>Pencil, marker or interface tap</w:t>
            </w:r>
          </w:p>
        </w:tc>
        <w:tc>
          <w:tcPr>
            <w:tcW w:type="dxa" w:w="1752"/>
            <w:shd w:fill="F8FAFC"/>
            <w:vAlign w:val="center"/>
          </w:tcPr>
          <w:p>
            <w:pPr>
              <w:spacing w:after="0"/>
            </w:pPr>
            <w:r/>
            <w:r>
              <w:rPr>
                <w:rFonts w:ascii="Noto Sans Myanmar" w:hAnsi="Noto Sans Myanmar" w:eastAsia="Noto Sans Myanmar"/>
                <w:b w:val="0"/>
                <w:color w:val="1F2933"/>
                <w:sz w:val="12"/>
              </w:rPr>
              <w:t>What do we know?</w:t>
            </w:r>
          </w:p>
        </w:tc>
      </w:tr>
      <w:tr>
        <w:tc>
          <w:tcPr>
            <w:tcW w:type="dxa" w:w="1752"/>
            <w:vAlign w:val="center"/>
          </w:tcPr>
          <w:p>
            <w:pPr>
              <w:spacing w:after="0"/>
            </w:pPr>
            <w:r/>
            <w:r>
              <w:rPr>
                <w:rFonts w:ascii="Noto Sans Myanmar" w:hAnsi="Noto Sans Myanmar" w:eastAsia="Noto Sans Myanmar"/>
                <w:b w:val="0"/>
                <w:color w:val="1F2933"/>
                <w:sz w:val="12"/>
              </w:rPr>
              <w:t>04 | 0:09–0:12</w:t>
            </w:r>
          </w:p>
        </w:tc>
        <w:tc>
          <w:tcPr>
            <w:tcW w:type="dxa" w:w="1752"/>
            <w:vAlign w:val="center"/>
          </w:tcPr>
          <w:p>
            <w:pPr>
              <w:spacing w:after="0"/>
            </w:pPr>
            <w:r/>
            <w:r>
              <w:rPr>
                <w:rFonts w:ascii="Noto Sans Myanmar" w:hAnsi="Noto Sans Myanmar" w:eastAsia="Noto Sans Myanmar"/>
                <w:b w:val="0"/>
                <w:color w:val="1F2933"/>
                <w:sz w:val="12"/>
              </w:rPr>
              <w:t>Context widens</w:t>
            </w:r>
          </w:p>
        </w:tc>
        <w:tc>
          <w:tcPr>
            <w:tcW w:type="dxa" w:w="1752"/>
            <w:vAlign w:val="center"/>
          </w:tcPr>
          <w:p>
            <w:pPr>
              <w:spacing w:after="0"/>
            </w:pPr>
            <w:r/>
            <w:r>
              <w:rPr>
                <w:rFonts w:ascii="Noto Sans Myanmar" w:hAnsi="Noto Sans Myanmar" w:eastAsia="Noto Sans Myanmar"/>
                <w:b w:val="0"/>
                <w:color w:val="1F2933"/>
                <w:sz w:val="12"/>
              </w:rPr>
              <w:t>A second team member or workflow touchpoint reveals that coordination is shared.</w:t>
            </w:r>
          </w:p>
        </w:tc>
        <w:tc>
          <w:tcPr>
            <w:tcW w:type="dxa" w:w="1752"/>
            <w:vAlign w:val="center"/>
          </w:tcPr>
          <w:p>
            <w:pPr>
              <w:spacing w:after="0"/>
            </w:pPr>
            <w:r/>
            <w:r>
              <w:rPr>
                <w:rFonts w:ascii="Noto Sans Myanmar" w:hAnsi="Noto Sans Myanmar" w:eastAsia="Noto Sans Myanmar"/>
                <w:b w:val="0"/>
                <w:color w:val="1F2933"/>
                <w:sz w:val="12"/>
              </w:rPr>
              <w:t>Over-shoulder transition to a two-shot; gentle slider</w:t>
            </w:r>
          </w:p>
        </w:tc>
        <w:tc>
          <w:tcPr>
            <w:tcW w:type="dxa" w:w="1752"/>
            <w:vAlign w:val="center"/>
          </w:tcPr>
          <w:p>
            <w:pPr>
              <w:spacing w:after="0"/>
            </w:pPr>
            <w:r/>
            <w:r>
              <w:rPr>
                <w:rFonts w:ascii="Noto Sans Myanmar" w:hAnsi="Noto Sans Myanmar" w:eastAsia="Noto Sans Myanmar"/>
                <w:b w:val="0"/>
                <w:color w:val="1F2933"/>
                <w:sz w:val="12"/>
              </w:rPr>
              <w:t>Ambience rises; no real dispatch/radio content</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05 | 0:12–0:16</w:t>
            </w:r>
          </w:p>
        </w:tc>
        <w:tc>
          <w:tcPr>
            <w:tcW w:type="dxa" w:w="1752"/>
            <w:shd w:fill="F8FAFC"/>
            <w:vAlign w:val="center"/>
          </w:tcPr>
          <w:p>
            <w:pPr>
              <w:spacing w:after="0"/>
            </w:pPr>
            <w:r/>
            <w:r>
              <w:rPr>
                <w:rFonts w:ascii="Noto Sans Myanmar" w:hAnsi="Noto Sans Myanmar" w:eastAsia="Noto Sans Myanmar"/>
                <w:b w:val="0"/>
                <w:color w:val="1F2933"/>
                <w:sz w:val="12"/>
              </w:rPr>
              <w:t>Choice point</w:t>
            </w:r>
          </w:p>
        </w:tc>
        <w:tc>
          <w:tcPr>
            <w:tcW w:type="dxa" w:w="1752"/>
            <w:shd w:fill="F8FAFC"/>
            <w:vAlign w:val="center"/>
          </w:tcPr>
          <w:p>
            <w:pPr>
              <w:spacing w:after="0"/>
            </w:pPr>
            <w:r/>
            <w:r>
              <w:rPr>
                <w:rFonts w:ascii="Noto Sans Myanmar" w:hAnsi="Noto Sans Myanmar" w:eastAsia="Noto Sans Myanmar"/>
                <w:b w:val="0"/>
                <w:color w:val="1F2933"/>
                <w:sz w:val="12"/>
              </w:rPr>
              <w:t>The protagonist separates what is known, what needs confirmation and what action is next.</w:t>
            </w:r>
          </w:p>
        </w:tc>
        <w:tc>
          <w:tcPr>
            <w:tcW w:type="dxa" w:w="1752"/>
            <w:shd w:fill="F8FAFC"/>
            <w:vAlign w:val="center"/>
          </w:tcPr>
          <w:p>
            <w:pPr>
              <w:spacing w:after="0"/>
            </w:pPr>
            <w:r/>
            <w:r>
              <w:rPr>
                <w:rFonts w:ascii="Noto Sans Myanmar" w:hAnsi="Noto Sans Myanmar" w:eastAsia="Noto Sans Myanmar"/>
                <w:b w:val="0"/>
                <w:color w:val="1F2933"/>
                <w:sz w:val="12"/>
              </w:rPr>
              <w:t>Insert sequence; 50mm and macro; match cuts</w:t>
            </w:r>
          </w:p>
        </w:tc>
        <w:tc>
          <w:tcPr>
            <w:tcW w:type="dxa" w:w="1752"/>
            <w:shd w:fill="F8FAFC"/>
            <w:vAlign w:val="center"/>
          </w:tcPr>
          <w:p>
            <w:pPr>
              <w:spacing w:after="0"/>
            </w:pPr>
            <w:r/>
            <w:r>
              <w:rPr>
                <w:rFonts w:ascii="Noto Sans Myanmar" w:hAnsi="Noto Sans Myanmar" w:eastAsia="Noto Sans Myanmar"/>
                <w:b w:val="0"/>
                <w:color w:val="1F2933"/>
                <w:sz w:val="12"/>
              </w:rPr>
              <w:t>Musical pulse begins</w:t>
            </w:r>
          </w:p>
        </w:tc>
        <w:tc>
          <w:tcPr>
            <w:tcW w:type="dxa" w:w="1752"/>
            <w:shd w:fill="F8FAFC"/>
            <w:vAlign w:val="center"/>
          </w:tcPr>
          <w:p>
            <w:pPr>
              <w:spacing w:after="0"/>
            </w:pPr>
            <w:r/>
            <w:r>
              <w:rPr>
                <w:rFonts w:ascii="Noto Sans Myanmar" w:hAnsi="Noto Sans Myanmar" w:eastAsia="Noto Sans Myanmar"/>
                <w:b w:val="0"/>
                <w:color w:val="1F2933"/>
                <w:sz w:val="12"/>
              </w:rPr>
              <w:t>Know. Confirm. Decide.</w:t>
            </w:r>
          </w:p>
        </w:tc>
      </w:tr>
      <w:tr>
        <w:tc>
          <w:tcPr>
            <w:tcW w:type="dxa" w:w="1752"/>
            <w:vAlign w:val="center"/>
          </w:tcPr>
          <w:p>
            <w:pPr>
              <w:spacing w:after="0"/>
            </w:pPr>
            <w:r/>
            <w:r>
              <w:rPr>
                <w:rFonts w:ascii="Noto Sans Myanmar" w:hAnsi="Noto Sans Myanmar" w:eastAsia="Noto Sans Myanmar"/>
                <w:b w:val="0"/>
                <w:color w:val="1F2933"/>
                <w:sz w:val="12"/>
              </w:rPr>
              <w:t>06 | 0:16–0:20</w:t>
            </w:r>
          </w:p>
        </w:tc>
        <w:tc>
          <w:tcPr>
            <w:tcW w:type="dxa" w:w="1752"/>
            <w:vAlign w:val="center"/>
          </w:tcPr>
          <w:p>
            <w:pPr>
              <w:spacing w:after="0"/>
            </w:pPr>
            <w:r/>
            <w:r>
              <w:rPr>
                <w:rFonts w:ascii="Noto Sans Myanmar" w:hAnsi="Noto Sans Myanmar" w:eastAsia="Noto Sans Myanmar"/>
                <w:b w:val="0"/>
                <w:color w:val="1F2933"/>
                <w:sz w:val="12"/>
              </w:rPr>
              <w:t>System is human</w:t>
            </w:r>
          </w:p>
        </w:tc>
        <w:tc>
          <w:tcPr>
            <w:tcW w:type="dxa" w:w="1752"/>
            <w:vAlign w:val="center"/>
          </w:tcPr>
          <w:p>
            <w:pPr>
              <w:spacing w:after="0"/>
            </w:pPr>
            <w:r/>
            <w:r>
              <w:rPr>
                <w:rFonts w:ascii="Noto Sans Myanmar" w:hAnsi="Noto Sans Myanmar" w:eastAsia="Noto Sans Myanmar"/>
                <w:b w:val="0"/>
                <w:color w:val="1F2933"/>
                <w:sz w:val="12"/>
              </w:rPr>
              <w:t>Hands exchange a fictional card, update a simulated board or align around a mock route.</w:t>
            </w:r>
          </w:p>
        </w:tc>
        <w:tc>
          <w:tcPr>
            <w:tcW w:type="dxa" w:w="1752"/>
            <w:vAlign w:val="center"/>
          </w:tcPr>
          <w:p>
            <w:pPr>
              <w:spacing w:after="0"/>
            </w:pPr>
            <w:r/>
            <w:r>
              <w:rPr>
                <w:rFonts w:ascii="Noto Sans Myanmar" w:hAnsi="Noto Sans Myanmar" w:eastAsia="Noto Sans Myanmar"/>
                <w:b w:val="0"/>
                <w:color w:val="1F2933"/>
                <w:sz w:val="12"/>
              </w:rPr>
              <w:t>Tracking medium shot; 35mm; controlled blocking</w:t>
            </w:r>
          </w:p>
        </w:tc>
        <w:tc>
          <w:tcPr>
            <w:tcW w:type="dxa" w:w="1752"/>
            <w:vAlign w:val="center"/>
          </w:tcPr>
          <w:p>
            <w:pPr>
              <w:spacing w:after="0"/>
            </w:pPr>
            <w:r/>
            <w:r>
              <w:rPr>
                <w:rFonts w:ascii="Noto Sans Myanmar" w:hAnsi="Noto Sans Myanmar" w:eastAsia="Noto Sans Myanmar"/>
                <w:b w:val="0"/>
                <w:color w:val="1F2933"/>
                <w:sz w:val="12"/>
              </w:rPr>
              <w:t>Soft handover foley; warm chord</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07 | 0:20–0:24</w:t>
            </w:r>
          </w:p>
        </w:tc>
        <w:tc>
          <w:tcPr>
            <w:tcW w:type="dxa" w:w="1752"/>
            <w:shd w:fill="F8FAFC"/>
            <w:vAlign w:val="center"/>
          </w:tcPr>
          <w:p>
            <w:pPr>
              <w:spacing w:after="0"/>
            </w:pPr>
            <w:r/>
            <w:r>
              <w:rPr>
                <w:rFonts w:ascii="Noto Sans Myanmar" w:hAnsi="Noto Sans Myanmar" w:eastAsia="Noto Sans Myanmar"/>
                <w:b w:val="0"/>
                <w:color w:val="1F2933"/>
                <w:sz w:val="12"/>
              </w:rPr>
              <w:t>Territory visualised</w:t>
            </w:r>
          </w:p>
        </w:tc>
        <w:tc>
          <w:tcPr>
            <w:tcW w:type="dxa" w:w="1752"/>
            <w:shd w:fill="F8FAFC"/>
            <w:vAlign w:val="center"/>
          </w:tcPr>
          <w:p>
            <w:pPr>
              <w:spacing w:after="0"/>
            </w:pPr>
            <w:r/>
            <w:r>
              <w:rPr>
                <w:rFonts w:ascii="Noto Sans Myanmar" w:hAnsi="Noto Sans Myanmar" w:eastAsia="Noto Sans Myanmar"/>
                <w:b w:val="0"/>
                <w:color w:val="1F2933"/>
                <w:sz w:val="12"/>
              </w:rPr>
              <w:t>The territory line becomes a restrained graphic language across paper, glass or a mock interface.</w:t>
            </w:r>
          </w:p>
        </w:tc>
        <w:tc>
          <w:tcPr>
            <w:tcW w:type="dxa" w:w="1752"/>
            <w:shd w:fill="F8FAFC"/>
            <w:vAlign w:val="center"/>
          </w:tcPr>
          <w:p>
            <w:pPr>
              <w:spacing w:after="0"/>
            </w:pPr>
            <w:r/>
            <w:r>
              <w:rPr>
                <w:rFonts w:ascii="Noto Sans Myanmar" w:hAnsi="Noto Sans Myanmar" w:eastAsia="Noto Sans Myanmar"/>
                <w:b w:val="0"/>
                <w:color w:val="1F2933"/>
                <w:sz w:val="12"/>
              </w:rPr>
              <w:t>Graphic overlay on live action; no live customer data</w:t>
            </w:r>
          </w:p>
        </w:tc>
        <w:tc>
          <w:tcPr>
            <w:tcW w:type="dxa" w:w="1752"/>
            <w:shd w:fill="F8FAFC"/>
            <w:vAlign w:val="center"/>
          </w:tcPr>
          <w:p>
            <w:pPr>
              <w:spacing w:after="0"/>
            </w:pPr>
            <w:r/>
            <w:r>
              <w:rPr>
                <w:rFonts w:ascii="Noto Sans Myanmar" w:hAnsi="Noto Sans Myanmar" w:eastAsia="Noto Sans Myanmar"/>
                <w:b w:val="0"/>
                <w:color w:val="1F2933"/>
                <w:sz w:val="12"/>
              </w:rPr>
              <w:t>Music opens; elegant motion accent</w:t>
            </w:r>
          </w:p>
        </w:tc>
        <w:tc>
          <w:tcPr>
            <w:tcW w:type="dxa" w:w="1752"/>
            <w:shd w:fill="F8FAFC"/>
            <w:vAlign w:val="center"/>
          </w:tcPr>
          <w:p>
            <w:pPr>
              <w:spacing w:after="0"/>
            </w:pPr>
            <w:r/>
            <w:r>
              <w:rPr>
                <w:rFonts w:ascii="Noto Sans Myanmar" w:hAnsi="Noto Sans Myanmar" w:eastAsia="Noto Sans Myanmar"/>
                <w:b w:val="0"/>
                <w:color w:val="1F2933"/>
                <w:sz w:val="12"/>
              </w:rPr>
              <w:t>A clear handover is a promise that stays legible</w:t>
            </w:r>
          </w:p>
        </w:tc>
      </w:tr>
      <w:tr>
        <w:tc>
          <w:tcPr>
            <w:tcW w:type="dxa" w:w="1752"/>
            <w:vAlign w:val="center"/>
          </w:tcPr>
          <w:p>
            <w:pPr>
              <w:spacing w:after="0"/>
            </w:pPr>
            <w:r/>
            <w:r>
              <w:rPr>
                <w:rFonts w:ascii="Noto Sans Myanmar" w:hAnsi="Noto Sans Myanmar" w:eastAsia="Noto Sans Myanmar"/>
                <w:b w:val="0"/>
                <w:color w:val="1F2933"/>
                <w:sz w:val="12"/>
              </w:rPr>
              <w:t>08 | 0:24–0:28</w:t>
            </w:r>
          </w:p>
        </w:tc>
        <w:tc>
          <w:tcPr>
            <w:tcW w:type="dxa" w:w="1752"/>
            <w:vAlign w:val="center"/>
          </w:tcPr>
          <w:p>
            <w:pPr>
              <w:spacing w:after="0"/>
            </w:pPr>
            <w:r/>
            <w:r>
              <w:rPr>
                <w:rFonts w:ascii="Noto Sans Myanmar" w:hAnsi="Noto Sans Myanmar" w:eastAsia="Noto Sans Myanmar"/>
                <w:b w:val="0"/>
                <w:color w:val="1F2933"/>
                <w:sz w:val="12"/>
              </w:rPr>
              <w:t>Proof moment</w:t>
            </w:r>
          </w:p>
        </w:tc>
        <w:tc>
          <w:tcPr>
            <w:tcW w:type="dxa" w:w="1752"/>
            <w:vAlign w:val="center"/>
          </w:tcPr>
          <w:p>
            <w:pPr>
              <w:spacing w:after="0"/>
            </w:pPr>
            <w:r/>
            <w:r>
              <w:rPr>
                <w:rFonts w:ascii="Noto Sans Myanmar" w:hAnsi="Noto Sans Myanmar" w:eastAsia="Noto Sans Myanmar"/>
                <w:b w:val="0"/>
                <w:color w:val="1F2933"/>
                <w:sz w:val="12"/>
              </w:rPr>
              <w:t>The group pauses to check a simple fictional checklist before continuing.</w:t>
            </w:r>
          </w:p>
        </w:tc>
        <w:tc>
          <w:tcPr>
            <w:tcW w:type="dxa" w:w="1752"/>
            <w:vAlign w:val="center"/>
          </w:tcPr>
          <w:p>
            <w:pPr>
              <w:spacing w:after="0"/>
            </w:pPr>
            <w:r/>
            <w:r>
              <w:rPr>
                <w:rFonts w:ascii="Noto Sans Myanmar" w:hAnsi="Noto Sans Myanmar" w:eastAsia="Noto Sans Myanmar"/>
                <w:b w:val="0"/>
                <w:color w:val="1F2933"/>
                <w:sz w:val="12"/>
              </w:rPr>
              <w:t>Wide-to-insert; 24mm then 85mm; no speed ramp</w:t>
            </w:r>
          </w:p>
        </w:tc>
        <w:tc>
          <w:tcPr>
            <w:tcW w:type="dxa" w:w="1752"/>
            <w:vAlign w:val="center"/>
          </w:tcPr>
          <w:p>
            <w:pPr>
              <w:spacing w:after="0"/>
            </w:pPr>
            <w:r/>
            <w:r>
              <w:rPr>
                <w:rFonts w:ascii="Noto Sans Myanmar" w:hAnsi="Noto Sans Myanmar" w:eastAsia="Noto Sans Myanmar"/>
                <w:b w:val="0"/>
                <w:color w:val="1F2933"/>
                <w:sz w:val="12"/>
              </w:rPr>
              <w:t>Quiet breath, pen click</w:t>
            </w:r>
          </w:p>
        </w:tc>
        <w:tc>
          <w:tcPr>
            <w:tcW w:type="dxa" w:w="1752"/>
            <w:vAlign w:val="center"/>
          </w:tcPr>
          <w:p>
            <w:pPr>
              <w:spacing w:after="0"/>
            </w:pPr>
            <w:r/>
            <w:r>
              <w:rPr>
                <w:rFonts w:ascii="Noto Sans Myanmar" w:hAnsi="Noto Sans Myanmar" w:eastAsia="Noto Sans Myanmar"/>
                <w:b w:val="0"/>
                <w:color w:val="1F2933"/>
                <w:sz w:val="12"/>
              </w:rPr>
              <w:t>A clearer next step</w:t>
            </w:r>
          </w:p>
        </w:tc>
      </w:tr>
      <w:tr>
        <w:tc>
          <w:tcPr>
            <w:tcW w:type="dxa" w:w="1752"/>
            <w:shd w:fill="F8FAFC"/>
            <w:vAlign w:val="center"/>
          </w:tcPr>
          <w:p>
            <w:pPr>
              <w:spacing w:after="0"/>
            </w:pPr>
            <w:r/>
            <w:r>
              <w:rPr>
                <w:rFonts w:ascii="Noto Sans Myanmar" w:hAnsi="Noto Sans Myanmar" w:eastAsia="Noto Sans Myanmar"/>
                <w:b w:val="0"/>
                <w:color w:val="1F2933"/>
                <w:sz w:val="12"/>
              </w:rPr>
              <w:t>09 | 0:28–0:32</w:t>
            </w:r>
          </w:p>
        </w:tc>
        <w:tc>
          <w:tcPr>
            <w:tcW w:type="dxa" w:w="1752"/>
            <w:shd w:fill="F8FAFC"/>
            <w:vAlign w:val="center"/>
          </w:tcPr>
          <w:p>
            <w:pPr>
              <w:spacing w:after="0"/>
            </w:pPr>
            <w:r/>
            <w:r>
              <w:rPr>
                <w:rFonts w:ascii="Noto Sans Myanmar" w:hAnsi="Noto Sans Myanmar" w:eastAsia="Noto Sans Myanmar"/>
                <w:b w:val="0"/>
                <w:color w:val="1F2933"/>
                <w:sz w:val="12"/>
              </w:rPr>
              <w:t>Human outcome</w:t>
            </w:r>
          </w:p>
        </w:tc>
        <w:tc>
          <w:tcPr>
            <w:tcW w:type="dxa" w:w="1752"/>
            <w:shd w:fill="F8FAFC"/>
            <w:vAlign w:val="center"/>
          </w:tcPr>
          <w:p>
            <w:pPr>
              <w:spacing w:after="0"/>
            </w:pPr>
            <w:r/>
            <w:r>
              <w:rPr>
                <w:rFonts w:ascii="Noto Sans Myanmar" w:hAnsi="Noto Sans Myanmar" w:eastAsia="Noto Sans Myanmar"/>
                <w:b w:val="0"/>
                <w:color w:val="1F2933"/>
                <w:sz w:val="12"/>
              </w:rPr>
              <w:t>The protagonist receives acknowledgement—not a delivery, performance or service guarantee.</w:t>
            </w:r>
          </w:p>
        </w:tc>
        <w:tc>
          <w:tcPr>
            <w:tcW w:type="dxa" w:w="1752"/>
            <w:shd w:fill="F8FAFC"/>
            <w:vAlign w:val="center"/>
          </w:tcPr>
          <w:p>
            <w:pPr>
              <w:spacing w:after="0"/>
            </w:pPr>
            <w:r/>
            <w:r>
              <w:rPr>
                <w:rFonts w:ascii="Noto Sans Myanmar" w:hAnsi="Noto Sans Myanmar" w:eastAsia="Noto Sans Myanmar"/>
                <w:b w:val="0"/>
                <w:color w:val="1F2933"/>
                <w:sz w:val="12"/>
              </w:rPr>
              <w:t>Warm close-up; 85mm; natural light</w:t>
            </w:r>
          </w:p>
        </w:tc>
        <w:tc>
          <w:tcPr>
            <w:tcW w:type="dxa" w:w="1752"/>
            <w:shd w:fill="F8FAFC"/>
            <w:vAlign w:val="center"/>
          </w:tcPr>
          <w:p>
            <w:pPr>
              <w:spacing w:after="0"/>
            </w:pPr>
            <w:r/>
            <w:r>
              <w:rPr>
                <w:rFonts w:ascii="Noto Sans Myanmar" w:hAnsi="Noto Sans Myanmar" w:eastAsia="Noto Sans Myanmar"/>
                <w:b w:val="0"/>
                <w:color w:val="1F2933"/>
                <w:sz w:val="12"/>
              </w:rPr>
              <w:t>Music resolves; restrained dialogue-free smile</w:t>
            </w:r>
          </w:p>
        </w:tc>
        <w:tc>
          <w:tcPr>
            <w:tcW w:type="dxa" w:w="1752"/>
            <w:shd w:fill="F8FAFC"/>
            <w:vAlign w:val="center"/>
          </w:tcPr>
          <w:p>
            <w:pPr>
              <w:spacing w:after="0"/>
            </w:pPr>
            <w:r/>
            <w:r>
              <w:rPr>
                <w:rFonts w:ascii="Noto Sans Myanmar" w:hAnsi="Noto Sans Myanmar" w:eastAsia="Noto Sans Myanmar"/>
                <w:b w:val="0"/>
                <w:color w:val="1F2933"/>
                <w:sz w:val="12"/>
              </w:rPr>
            </w:r>
          </w:p>
        </w:tc>
      </w:tr>
      <w:tr>
        <w:tc>
          <w:tcPr>
            <w:tcW w:type="dxa" w:w="1752"/>
            <w:vAlign w:val="center"/>
          </w:tcPr>
          <w:p>
            <w:pPr>
              <w:spacing w:after="0"/>
            </w:pPr>
            <w:r/>
            <w:r>
              <w:rPr>
                <w:rFonts w:ascii="Noto Sans Myanmar" w:hAnsi="Noto Sans Myanmar" w:eastAsia="Noto Sans Myanmar"/>
                <w:b w:val="0"/>
                <w:color w:val="1F2933"/>
                <w:sz w:val="12"/>
              </w:rPr>
              <w:t>10 | 0:32–0:36</w:t>
            </w:r>
          </w:p>
        </w:tc>
        <w:tc>
          <w:tcPr>
            <w:tcW w:type="dxa" w:w="1752"/>
            <w:vAlign w:val="center"/>
          </w:tcPr>
          <w:p>
            <w:pPr>
              <w:spacing w:after="0"/>
            </w:pPr>
            <w:r/>
            <w:r>
              <w:rPr>
                <w:rFonts w:ascii="Noto Sans Myanmar" w:hAnsi="Noto Sans Myanmar" w:eastAsia="Noto Sans Myanmar"/>
                <w:b w:val="0"/>
                <w:color w:val="1F2933"/>
                <w:sz w:val="12"/>
              </w:rPr>
              <w:t>Invitation</w:t>
            </w:r>
          </w:p>
        </w:tc>
        <w:tc>
          <w:tcPr>
            <w:tcW w:type="dxa" w:w="1752"/>
            <w:vAlign w:val="center"/>
          </w:tcPr>
          <w:p>
            <w:pPr>
              <w:spacing w:after="0"/>
            </w:pPr>
            <w:r/>
            <w:r>
              <w:rPr>
                <w:rFonts w:ascii="Noto Sans Myanmar" w:hAnsi="Noto Sans Myanmar" w:eastAsia="Noto Sans Myanmar"/>
                <w:b w:val="0"/>
                <w:color w:val="1F2933"/>
                <w:sz w:val="12"/>
              </w:rPr>
              <w:t>A clean client-approved question card creates the bridge to a discovery conversation.</w:t>
            </w:r>
          </w:p>
        </w:tc>
        <w:tc>
          <w:tcPr>
            <w:tcW w:type="dxa" w:w="1752"/>
            <w:vAlign w:val="center"/>
          </w:tcPr>
          <w:p>
            <w:pPr>
              <w:spacing w:after="0"/>
            </w:pPr>
            <w:r/>
            <w:r>
              <w:rPr>
                <w:rFonts w:ascii="Noto Sans Myanmar" w:hAnsi="Noto Sans Myanmar" w:eastAsia="Noto Sans Myanmar"/>
                <w:b w:val="0"/>
                <w:color w:val="1F2933"/>
                <w:sz w:val="12"/>
              </w:rPr>
              <w:t>Front-on graphic/live-action hybrid; 50mm</w:t>
            </w:r>
          </w:p>
        </w:tc>
        <w:tc>
          <w:tcPr>
            <w:tcW w:type="dxa" w:w="1752"/>
            <w:vAlign w:val="center"/>
          </w:tcPr>
          <w:p>
            <w:pPr>
              <w:spacing w:after="0"/>
            </w:pPr>
            <w:r/>
            <w:r>
              <w:rPr>
                <w:rFonts w:ascii="Noto Sans Myanmar" w:hAnsi="Noto Sans Myanmar" w:eastAsia="Noto Sans Myanmar"/>
                <w:b w:val="0"/>
                <w:color w:val="1F2933"/>
                <w:sz w:val="12"/>
              </w:rPr>
              <w:t>Single audio lift</w:t>
            </w:r>
          </w:p>
        </w:tc>
        <w:tc>
          <w:tcPr>
            <w:tcW w:type="dxa" w:w="1752"/>
            <w:vAlign w:val="center"/>
          </w:tcPr>
          <w:p>
            <w:pPr>
              <w:spacing w:after="0"/>
            </w:pPr>
            <w:r/>
            <w:r>
              <w:rPr>
                <w:rFonts w:ascii="Noto Sans Myanmar" w:hAnsi="Noto Sans Myanmar" w:eastAsia="Noto Sans Myanmar"/>
                <w:b w:val="0"/>
                <w:color w:val="1F2933"/>
                <w:sz w:val="12"/>
              </w:rPr>
              <w:t>Start with the question.</w:t>
            </w:r>
          </w:p>
        </w:tc>
      </w:tr>
      <w:tr>
        <w:tc>
          <w:tcPr>
            <w:tcW w:type="dxa" w:w="1752"/>
            <w:shd w:fill="F8FAFC"/>
            <w:vAlign w:val="center"/>
          </w:tcPr>
          <w:p>
            <w:pPr>
              <w:spacing w:after="0"/>
            </w:pPr>
            <w:r/>
            <w:r>
              <w:rPr>
                <w:rFonts w:ascii="Noto Sans Myanmar" w:hAnsi="Noto Sans Myanmar" w:eastAsia="Noto Sans Myanmar"/>
                <w:b w:val="0"/>
                <w:color w:val="1F2933"/>
                <w:sz w:val="12"/>
              </w:rPr>
              <w:t>11 | 0:36–0:40</w:t>
            </w:r>
          </w:p>
        </w:tc>
        <w:tc>
          <w:tcPr>
            <w:tcW w:type="dxa" w:w="1752"/>
            <w:shd w:fill="F8FAFC"/>
            <w:vAlign w:val="center"/>
          </w:tcPr>
          <w:p>
            <w:pPr>
              <w:spacing w:after="0"/>
            </w:pPr>
            <w:r/>
            <w:r>
              <w:rPr>
                <w:rFonts w:ascii="Noto Sans Myanmar" w:hAnsi="Noto Sans Myanmar" w:eastAsia="Noto Sans Myanmar"/>
                <w:b w:val="0"/>
                <w:color w:val="1F2933"/>
                <w:sz w:val="12"/>
              </w:rPr>
              <w:t>CTA hold</w:t>
            </w:r>
          </w:p>
        </w:tc>
        <w:tc>
          <w:tcPr>
            <w:tcW w:type="dxa" w:w="1752"/>
            <w:shd w:fill="F8FAFC"/>
            <w:vAlign w:val="center"/>
          </w:tcPr>
          <w:p>
            <w:pPr>
              <w:spacing w:after="0"/>
            </w:pPr>
            <w:r/>
            <w:r>
              <w:rPr>
                <w:rFonts w:ascii="Noto Sans Myanmar" w:hAnsi="Noto Sans Myanmar" w:eastAsia="Noto Sans Myanmar"/>
                <w:b w:val="0"/>
                <w:color w:val="1F2933"/>
                <w:sz w:val="12"/>
              </w:rPr>
              <w:t>Bilingual CTA resolves against a neutral, client-approved visual field.</w:t>
            </w:r>
          </w:p>
        </w:tc>
        <w:tc>
          <w:tcPr>
            <w:tcW w:type="dxa" w:w="1752"/>
            <w:shd w:fill="F8FAFC"/>
            <w:vAlign w:val="center"/>
          </w:tcPr>
          <w:p>
            <w:pPr>
              <w:spacing w:after="0"/>
            </w:pPr>
            <w:r/>
            <w:r>
              <w:rPr>
                <w:rFonts w:ascii="Noto Sans Myanmar" w:hAnsi="Noto Sans Myanmar" w:eastAsia="Noto Sans Myanmar"/>
                <w:b w:val="0"/>
                <w:color w:val="1F2933"/>
                <w:sz w:val="12"/>
              </w:rPr>
              <w:t>Static end-frame; graphic-safe area held for cutdowns</w:t>
            </w:r>
          </w:p>
        </w:tc>
        <w:tc>
          <w:tcPr>
            <w:tcW w:type="dxa" w:w="1752"/>
            <w:shd w:fill="F8FAFC"/>
            <w:vAlign w:val="center"/>
          </w:tcPr>
          <w:p>
            <w:pPr>
              <w:spacing w:after="0"/>
            </w:pPr>
            <w:r/>
            <w:r>
              <w:rPr>
                <w:rFonts w:ascii="Noto Sans Myanmar" w:hAnsi="Noto Sans Myanmar" w:eastAsia="Noto Sans Myanmar"/>
                <w:b w:val="0"/>
                <w:color w:val="1F2933"/>
                <w:sz w:val="12"/>
              </w:rPr>
              <w:t>Music tail; accessibility-ready subtitle space</w:t>
            </w:r>
          </w:p>
        </w:tc>
        <w:tc>
          <w:tcPr>
            <w:tcW w:type="dxa" w:w="1752"/>
            <w:shd w:fill="F8FAFC"/>
            <w:vAlign w:val="center"/>
          </w:tcPr>
          <w:p>
            <w:pPr>
              <w:spacing w:after="0"/>
            </w:pPr>
            <w:r/>
            <w:r>
              <w:rPr>
                <w:rFonts w:ascii="Noto Sans Myanmar" w:hAnsi="Noto Sans Myanmar" w:eastAsia="Noto Sans Myanmar"/>
                <w:b w:val="0"/>
                <w:color w:val="1F2933"/>
                <w:sz w:val="12"/>
              </w:rPr>
              <w:t>Ask for your handover discovery session</w:t>
            </w:r>
          </w:p>
        </w:tc>
      </w:tr>
      <w:tr>
        <w:tc>
          <w:tcPr>
            <w:tcW w:type="dxa" w:w="1752"/>
            <w:vAlign w:val="center"/>
          </w:tcPr>
          <w:p>
            <w:pPr>
              <w:spacing w:after="0"/>
            </w:pPr>
            <w:r/>
            <w:r>
              <w:rPr>
                <w:rFonts w:ascii="Noto Sans Myanmar" w:hAnsi="Noto Sans Myanmar" w:eastAsia="Noto Sans Myanmar"/>
                <w:b w:val="0"/>
                <w:color w:val="1F2933"/>
                <w:sz w:val="12"/>
              </w:rPr>
              <w:t>12 | 0:40–0:45</w:t>
            </w:r>
          </w:p>
        </w:tc>
        <w:tc>
          <w:tcPr>
            <w:tcW w:type="dxa" w:w="1752"/>
            <w:vAlign w:val="center"/>
          </w:tcPr>
          <w:p>
            <w:pPr>
              <w:spacing w:after="0"/>
            </w:pPr>
            <w:r/>
            <w:r>
              <w:rPr>
                <w:rFonts w:ascii="Noto Sans Myanmar" w:hAnsi="Noto Sans Myanmar" w:eastAsia="Noto Sans Myanmar"/>
                <w:b w:val="0"/>
                <w:color w:val="1F2933"/>
                <w:sz w:val="12"/>
              </w:rPr>
              <w:t>End card / versions</w:t>
            </w:r>
          </w:p>
        </w:tc>
        <w:tc>
          <w:tcPr>
            <w:tcW w:type="dxa" w:w="1752"/>
            <w:vAlign w:val="center"/>
          </w:tcPr>
          <w:p>
            <w:pPr>
              <w:spacing w:after="0"/>
            </w:pPr>
            <w:r/>
            <w:r>
              <w:rPr>
                <w:rFonts w:ascii="Noto Sans Myanmar" w:hAnsi="Noto Sans Myanmar" w:eastAsia="Noto Sans Myanmar"/>
                <w:b w:val="0"/>
                <w:color w:val="1F2933"/>
                <w:sz w:val="12"/>
              </w:rPr>
              <w:t>Master end card includes brand, legal, local-language and aspect-ratio placeholders; no claim until approved.</w:t>
            </w:r>
          </w:p>
        </w:tc>
        <w:tc>
          <w:tcPr>
            <w:tcW w:type="dxa" w:w="1752"/>
            <w:vAlign w:val="center"/>
          </w:tcPr>
          <w:p>
            <w:pPr>
              <w:spacing w:after="0"/>
            </w:pPr>
            <w:r/>
            <w:r>
              <w:rPr>
                <w:rFonts w:ascii="Noto Sans Myanmar" w:hAnsi="Noto Sans Myanmar" w:eastAsia="Noto Sans Myanmar"/>
                <w:b w:val="0"/>
                <w:color w:val="1F2933"/>
                <w:sz w:val="12"/>
              </w:rPr>
              <w:t>Flat graphic; 16:9 master with 9:16 and 1:1 safe areas</w:t>
            </w:r>
          </w:p>
        </w:tc>
        <w:tc>
          <w:tcPr>
            <w:tcW w:type="dxa" w:w="1752"/>
            <w:vAlign w:val="center"/>
          </w:tcPr>
          <w:p>
            <w:pPr>
              <w:spacing w:after="0"/>
            </w:pPr>
            <w:r/>
            <w:r>
              <w:rPr>
                <w:rFonts w:ascii="Noto Sans Myanmar" w:hAnsi="Noto Sans Myanmar" w:eastAsia="Noto Sans Myanmar"/>
                <w:b w:val="0"/>
                <w:color w:val="1F2933"/>
                <w:sz w:val="12"/>
              </w:rPr>
              <w:t>Brand sound only if rights-cleared</w:t>
            </w:r>
          </w:p>
        </w:tc>
        <w:tc>
          <w:tcPr>
            <w:tcW w:type="dxa" w:w="1752"/>
            <w:vAlign w:val="center"/>
          </w:tcPr>
          <w:p>
            <w:pPr>
              <w:spacing w:after="0"/>
            </w:pPr>
            <w:r/>
            <w:r>
              <w:rPr>
                <w:rFonts w:ascii="Noto Sans Myanmar" w:hAnsi="Noto Sans Myanmar" w:eastAsia="Noto Sans Myanmar"/>
                <w:b w:val="0"/>
                <w:color w:val="1F2933"/>
                <w:sz w:val="12"/>
              </w:rPr>
              <w:t>[CLIENT BRAND] | Proposed/TBC</w:t>
            </w:r>
          </w:p>
        </w:tc>
      </w:tr>
    </w:tbl>
    <w:p/>
    <w:p>
      <w:pPr>
        <w:pStyle w:val="Heading1"/>
      </w:pPr>
      <w:r>
        <w:t>3. Production &amp; Claims Gate</w:t>
      </w:r>
    </w:p>
    <w:p>
      <w:r>
        <w:rPr>
          <w:rFonts w:ascii="Noto Sans Myanmar" w:hAnsi="Noto Sans Myanmar" w:eastAsia="Noto Sans Myanmar"/>
          <w:i/>
          <w:color w:val="6B7280"/>
          <w:sz w:val="17"/>
        </w:rPr>
        <w:t>ထုတ်လုပ်မှုနှင့် Claim အတည်ပြုချက်</w:t>
      </w:r>
    </w:p>
    <w:p>
      <w:pPr>
        <w:pStyle w:val="ListBullet"/>
        <w:spacing w:after="40"/>
      </w:pPr>
      <w:r>
        <w:t>This is a creative treatment and storyboard direction, not a final shoot script, real-route representation, service claim, talent confirmation or costed production bid.</w:t>
      </w:r>
    </w:p>
    <w:p>
      <w:pPr>
        <w:pStyle w:val="ListBullet"/>
        <w:spacing w:after="40"/>
      </w:pPr>
      <w:r>
        <w:t>Lock the final script only after client factual service/product information, brand/legal review, location/site safety, privacy/security, talent, usage rights, music, subtitle language, system-interface clearance and end-card CTA are approved.</w:t>
      </w:r>
    </w:p>
    <w:p>
      <w:pPr>
        <w:pStyle w:val="ListBullet"/>
        <w:spacing w:after="40"/>
      </w:pPr>
      <w:r>
        <w:t>Prepare master, vertical, square and short cutdown needs only after confirmed distribution and media plan approval.</w:t>
      </w:r>
    </w:p>
    <w:p>
      <w:pPr>
        <w:pStyle w:val="ListBullet"/>
        <w:spacing w:after="40"/>
      </w:pPr>
      <w:r>
        <w:t>Use only consented real people and client-approved controlled settings; do not film live driving, live dispatch, real cargo, customer data, restricted zones or operational activity without specialist written clearance.</w:t>
      </w:r>
    </w:p>
    <w:p>
      <w:pPr>
        <w:pStyle w:val="Heading1"/>
      </w:pPr>
      <w:r>
        <w:t>4. Production Planning Envelope</w:t>
      </w:r>
    </w:p>
    <w:p>
      <w:r>
        <w:rPr>
          <w:rFonts w:ascii="Noto Sans Myanmar" w:hAnsi="Noto Sans Myanmar" w:eastAsia="Noto Sans Myanmar"/>
          <w:i/>
          <w:color w:val="6B7280"/>
          <w:sz w:val="17"/>
        </w:rPr>
        <w:t>ထုတ်လုပ်မှု စီမံကိန်း</w:t>
      </w:r>
    </w:p>
    <w:tbl>
      <w:tblPr>
        <w:tblStyle w:val="TableGrid"/>
        <w:tblW w:type="auto" w:w="0"/>
        <w:jc w:val="left"/>
        <w:tblLook w:firstColumn="1" w:firstRow="1" w:lastColumn="0" w:lastRow="0" w:noHBand="0" w:noVBand="1" w:val="04A0"/>
      </w:tblPr>
      <w:tblGrid>
        <w:gridCol w:w="5256"/>
        <w:gridCol w:w="5256"/>
      </w:tblGrid>
      <w:tr>
        <w:tc>
          <w:tcPr>
            <w:tcW w:type="dxa" w:w="5256"/>
            <w:shd w:fill="173A5E"/>
            <w:vAlign w:val="center"/>
          </w:tcPr>
          <w:p>
            <w:pPr>
              <w:spacing w:after="0"/>
            </w:pPr>
            <w:r/>
            <w:r>
              <w:rPr>
                <w:rFonts w:ascii="Noto Sans Myanmar" w:hAnsi="Noto Sans Myanmar" w:eastAsia="Noto Sans Myanmar"/>
                <w:b/>
                <w:color w:val="FFFFFF"/>
                <w:sz w:val="15"/>
              </w:rPr>
              <w:t>Workstream</w:t>
            </w:r>
          </w:p>
        </w:tc>
        <w:tc>
          <w:tcPr>
            <w:tcW w:type="dxa" w:w="5256"/>
            <w:shd w:fill="173A5E"/>
            <w:vAlign w:val="center"/>
          </w:tcPr>
          <w:p>
            <w:pPr>
              <w:spacing w:after="0"/>
            </w:pPr>
            <w:r/>
            <w:r>
              <w:rPr>
                <w:rFonts w:ascii="Noto Sans Myanmar" w:hAnsi="Noto Sans Myanmar" w:eastAsia="Noto Sans Myanmar"/>
                <w:b/>
                <w:color w:val="FFFFFF"/>
                <w:sz w:val="15"/>
              </w:rPr>
              <w:t>Planning instruction</w:t>
            </w:r>
          </w:p>
        </w:tc>
      </w:tr>
      <w:tr>
        <w:tc>
          <w:tcPr>
            <w:tcW w:type="dxa" w:w="5256"/>
            <w:shd w:fill="F8FAFC"/>
            <w:vAlign w:val="center"/>
          </w:tcPr>
          <w:p>
            <w:pPr>
              <w:spacing w:after="0"/>
            </w:pPr>
            <w:r/>
            <w:r>
              <w:rPr>
                <w:rFonts w:ascii="Noto Sans Myanmar" w:hAnsi="Noto Sans Myanmar" w:eastAsia="Noto Sans Myanmar"/>
                <w:b w:val="0"/>
                <w:color w:val="1F2933"/>
                <w:sz w:val="15"/>
              </w:rPr>
              <w:t>Development</w:t>
            </w:r>
          </w:p>
        </w:tc>
        <w:tc>
          <w:tcPr>
            <w:tcW w:type="dxa" w:w="5256"/>
            <w:shd w:fill="F8FAFC"/>
            <w:vAlign w:val="center"/>
          </w:tcPr>
          <w:p>
            <w:pPr>
              <w:spacing w:after="0"/>
            </w:pPr>
            <w:r/>
            <w:r>
              <w:rPr>
                <w:rFonts w:ascii="Noto Sans Myanmar" w:hAnsi="Noto Sans Myanmar" w:eastAsia="Noto Sans Myanmar"/>
                <w:b w:val="0"/>
                <w:color w:val="1F2933"/>
                <w:sz w:val="15"/>
              </w:rPr>
              <w:t>Confirm factual proposition, audience, CTA, route and claim boundary.</w:t>
            </w:r>
          </w:p>
        </w:tc>
      </w:tr>
      <w:tr>
        <w:tc>
          <w:tcPr>
            <w:tcW w:type="dxa" w:w="5256"/>
            <w:vAlign w:val="center"/>
          </w:tcPr>
          <w:p>
            <w:pPr>
              <w:spacing w:after="0"/>
            </w:pPr>
            <w:r/>
            <w:r>
              <w:rPr>
                <w:rFonts w:ascii="Noto Sans Myanmar" w:hAnsi="Noto Sans Myanmar" w:eastAsia="Noto Sans Myanmar"/>
                <w:b w:val="0"/>
                <w:color w:val="1F2933"/>
                <w:sz w:val="15"/>
              </w:rPr>
              <w:t>Pre-production</w:t>
            </w:r>
          </w:p>
        </w:tc>
        <w:tc>
          <w:tcPr>
            <w:tcW w:type="dxa" w:w="5256"/>
            <w:vAlign w:val="center"/>
          </w:tcPr>
          <w:p>
            <w:pPr>
              <w:spacing w:after="0"/>
            </w:pPr>
            <w:r/>
            <w:r>
              <w:rPr>
                <w:rFonts w:ascii="Noto Sans Myanmar" w:hAnsi="Noto Sans Myanmar" w:eastAsia="Noto Sans Myanmar"/>
                <w:b w:val="0"/>
                <w:color w:val="1F2933"/>
                <w:sz w:val="15"/>
              </w:rPr>
              <w:t>Approve cast, location/site, props, uniforms, mock interfaces, rights, safety and access protocol.</w:t>
            </w:r>
          </w:p>
        </w:tc>
      </w:tr>
      <w:tr>
        <w:tc>
          <w:tcPr>
            <w:tcW w:type="dxa" w:w="5256"/>
            <w:shd w:fill="F8FAFC"/>
            <w:vAlign w:val="center"/>
          </w:tcPr>
          <w:p>
            <w:pPr>
              <w:spacing w:after="0"/>
            </w:pPr>
            <w:r/>
            <w:r>
              <w:rPr>
                <w:rFonts w:ascii="Noto Sans Myanmar" w:hAnsi="Noto Sans Myanmar" w:eastAsia="Noto Sans Myanmar"/>
                <w:b w:val="0"/>
                <w:color w:val="1F2933"/>
                <w:sz w:val="15"/>
              </w:rPr>
              <w:t>Production</w:t>
            </w:r>
          </w:p>
        </w:tc>
        <w:tc>
          <w:tcPr>
            <w:tcW w:type="dxa" w:w="5256"/>
            <w:shd w:fill="F8FAFC"/>
            <w:vAlign w:val="center"/>
          </w:tcPr>
          <w:p>
            <w:pPr>
              <w:spacing w:after="0"/>
            </w:pPr>
            <w:r/>
            <w:r>
              <w:rPr>
                <w:rFonts w:ascii="Noto Sans Myanmar" w:hAnsi="Noto Sans Myanmar" w:eastAsia="Noto Sans Myanmar"/>
                <w:b w:val="0"/>
                <w:color w:val="1F2933"/>
                <w:sz w:val="15"/>
              </w:rPr>
              <w:t>Use a controlled set plan, simulated data, clear zones, client sign-off and daily asset backup.</w:t>
            </w:r>
          </w:p>
        </w:tc>
      </w:tr>
      <w:tr>
        <w:tc>
          <w:tcPr>
            <w:tcW w:type="dxa" w:w="5256"/>
            <w:vAlign w:val="center"/>
          </w:tcPr>
          <w:p>
            <w:pPr>
              <w:spacing w:after="0"/>
            </w:pPr>
            <w:r/>
            <w:r>
              <w:rPr>
                <w:rFonts w:ascii="Noto Sans Myanmar" w:hAnsi="Noto Sans Myanmar" w:eastAsia="Noto Sans Myanmar"/>
                <w:b w:val="0"/>
                <w:color w:val="1F2933"/>
                <w:sz w:val="15"/>
              </w:rPr>
              <w:t>Post-production</w:t>
            </w:r>
          </w:p>
        </w:tc>
        <w:tc>
          <w:tcPr>
            <w:tcW w:type="dxa" w:w="5256"/>
            <w:vAlign w:val="center"/>
          </w:tcPr>
          <w:p>
            <w:pPr>
              <w:spacing w:after="0"/>
            </w:pPr>
            <w:r/>
            <w:r>
              <w:rPr>
                <w:rFonts w:ascii="Noto Sans Myanmar" w:hAnsi="Noto Sans Myanmar" w:eastAsia="Noto Sans Myanmar"/>
                <w:b w:val="0"/>
                <w:color w:val="1F2933"/>
                <w:sz w:val="15"/>
              </w:rPr>
              <w:t>Build approved bilingual subtitles, versioning, music/licensing record, legal card and client review gates.</w:t>
            </w:r>
          </w:p>
        </w:tc>
      </w:tr>
      <w:tr>
        <w:tc>
          <w:tcPr>
            <w:tcW w:type="dxa" w:w="5256"/>
            <w:shd w:fill="F8FAFC"/>
            <w:vAlign w:val="center"/>
          </w:tcPr>
          <w:p>
            <w:pPr>
              <w:spacing w:after="0"/>
            </w:pPr>
            <w:r/>
            <w:r>
              <w:rPr>
                <w:rFonts w:ascii="Noto Sans Myanmar" w:hAnsi="Noto Sans Myanmar" w:eastAsia="Noto Sans Myanmar"/>
                <w:b w:val="0"/>
                <w:color w:val="1F2933"/>
                <w:sz w:val="15"/>
              </w:rPr>
              <w:t>Delivery</w:t>
            </w:r>
          </w:p>
        </w:tc>
        <w:tc>
          <w:tcPr>
            <w:tcW w:type="dxa" w:w="5256"/>
            <w:shd w:fill="F8FAFC"/>
            <w:vAlign w:val="center"/>
          </w:tcPr>
          <w:p>
            <w:pPr>
              <w:spacing w:after="0"/>
            </w:pPr>
            <w:r/>
            <w:r>
              <w:rPr>
                <w:rFonts w:ascii="Noto Sans Myanmar" w:hAnsi="Noto Sans Myanmar" w:eastAsia="Noto Sans Myanmar"/>
                <w:b w:val="0"/>
                <w:color w:val="1F2933"/>
                <w:sz w:val="15"/>
              </w:rPr>
              <w:t>Release only approved masters/cutdowns with an archive link and version status in the Master Tracker.</w:t>
            </w:r>
          </w:p>
        </w:tc>
      </w:tr>
    </w:tbl>
    <w:p/>
    <w:p>
      <w:pPr>
        <w:pStyle w:val="Heading1"/>
      </w:pPr>
      <w:r>
        <w:t>5. Evidence Boundary</w:t>
      </w:r>
    </w:p>
    <w:p>
      <w:r>
        <w:rPr>
          <w:rFonts w:ascii="Noto Sans Myanmar" w:hAnsi="Noto Sans Myanmar" w:eastAsia="Noto Sans Myanmar"/>
          <w:i/>
          <w:color w:val="6B7280"/>
          <w:sz w:val="17"/>
        </w:rPr>
        <w:t>အထောက်အထား ကန့်သတ်ချက်</w:t>
      </w:r>
    </w:p>
    <w:p>
      <w:r>
        <w:t>The film uses the logistics research register only as broad context. It does not represent any route, port, warehouse, carrier, vehicle, customer, worker, authority, association, service level, performance metric, location or partner as confirmed. All such details remain proposed/TBC.</w:t>
      </w:r>
    </w:p>
    <w:p>
      <w:pPr>
        <w:pStyle w:val="Caption"/>
      </w:pPr>
      <w:r>
        <w:t>Prepared by Manus AI for ZYNTH. Creative planning document only; not a shooting permit, service contract, legal clearance, safety clearance or operational plan.</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yanmar" w:hAnsi="Noto Sans Myanmar" w:eastAsia="Noto Sans Myanmar"/>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yanmar" w:hAnsi="Noto Sans Myanmar" w:eastAsia="Noto Sans Myanmar"/>
      <w:b/>
      <w:bCs/>
      <w:color w:val="1A6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yanmar" w:hAnsi="Noto Sans Myanmar" w:eastAsia="Noto Sans Myanmar"/>
      <w:b/>
      <w:bCs/>
      <w:color w:val="173A5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yanmar" w:hAnsi="Noto Sans Myanmar" w:eastAsia="Noto Sans Myanmar"/>
      <w:color w:val="173A5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