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A Clear Message</w:t>
      </w:r>
    </w:p>
    <w:p>
      <w:r>
        <w:rPr>
          <w:rFonts w:ascii="Noto Sans Myanmar" w:hAnsi="Noto Sans Myanmar" w:eastAsia="Noto Sans Myanmar"/>
          <w:color w:val="1A6A68"/>
          <w:sz w:val="30"/>
        </w:rPr>
        <w:t>ရှင်းလင်းတဲ့ စာတို</w:t>
      </w:r>
    </w:p>
    <w:p>
      <w:r>
        <w:rPr>
          <w:b/>
          <w:color w:val="6B7280"/>
          <w:sz w:val="18"/>
        </w:rPr>
        <w:t>STANDALONE COMMERCIAL + STORYBOARD DIRECTION  •  COM-2026-LOGISTICS-02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SME service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CMP-2026-LOGISTICS-02</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Small merchants need a practical conversation about deliveries, returns and customer communication without being sold an unverified service promise.</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A customer message should travel with the same care as the parcel</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warm merchant realism with clean amber notification motifs</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A customer message should travel with the same care as the parcel</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Map your customer communication question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