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Before the Peak</w:t>
      </w:r>
    </w:p>
    <w:p>
      <w:r>
        <w:rPr>
          <w:rFonts w:ascii="Noto Sans Myanmar" w:hAnsi="Noto Sans Myanmar" w:eastAsia="Noto Sans Myanmar"/>
          <w:color w:val="1A6A68"/>
          <w:sz w:val="30"/>
        </w:rPr>
        <w:t>အလုပ်များမတိုင်မီ</w:t>
      </w:r>
    </w:p>
    <w:p>
      <w:r>
        <w:rPr>
          <w:b/>
          <w:color w:val="6B7280"/>
          <w:sz w:val="18"/>
        </w:rPr>
        <w:t>STANDALONE COMMERCIAL + STORYBOARD DIRECTION  •  COM-2026-LOGISTICS-04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Executive planning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CMP-2026-LOGISTICS-04</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Business leaders can defer capacity and coordination decisions until a peak period makes the conversation harder.</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The best time to plan a rush is before it becomes a rush</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editorial executive clarity, deep blue, measured kinetic type</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The best time to plan a rush is before it becomes a rush</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Book a planning conversation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