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The Return That Restarts</w:t>
      </w:r>
    </w:p>
    <w:p>
      <w:r>
        <w:rPr>
          <w:rFonts w:ascii="Noto Sans Myanmar" w:hAnsi="Noto Sans Myanmar" w:eastAsia="Noto Sans Myanmar"/>
          <w:color w:val="1A6A68"/>
          <w:sz w:val="30"/>
        </w:rPr>
        <w:t>ပြန်လာခြင်းက ပြန်စတင်ခြင်း</w:t>
      </w:r>
    </w:p>
    <w:p>
      <w:r>
        <w:rPr>
          <w:b/>
          <w:color w:val="6B7280"/>
          <w:sz w:val="18"/>
        </w:rPr>
        <w:t>STANDALONE COMMERCIAL + STORYBOARD DIRECTION  •  COM-2026-LOGISTICS-05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Customer-experience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CMP-2026-LOGISTICS-05</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Returns can create friction between customers, merchants and operations when reason codes, handovers and next actions are unclear.</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A return can become the first signal of a better system</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soft neutral realism, tactile paper, warm reset palette</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A return can become the first signal of a better system</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Explore your return-journey question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