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Hands on the Route</w:t>
      </w:r>
    </w:p>
    <w:p>
      <w:r>
        <w:rPr>
          <w:rFonts w:ascii="Noto Sans Myanmar" w:hAnsi="Noto Sans Myanmar" w:eastAsia="Noto Sans Myanmar"/>
          <w:color w:val="1A6A68"/>
          <w:sz w:val="30"/>
        </w:rPr>
        <w:t>လမ်းကြောင်းပေါ်က လက်များ</w:t>
      </w:r>
    </w:p>
    <w:p>
      <w:r>
        <w:rPr>
          <w:b/>
          <w:color w:val="6B7280"/>
          <w:sz w:val="18"/>
        </w:rPr>
        <w:t>STANDALONE COMMERCIAL + STORYBOARD DIRECTION  •  COM-2026-LOGISTICS-08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Human-centred culture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CMP-2026-LOGISTICS-08</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The people coordinating and completing handovers can be overlooked in brand and process conversations.</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Every route is completed by people making careful decisions</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documentary warmth, natural light, human detail</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Every route is completed by people making careful decisions</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Listen to the people behind the route</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