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Last Mile Ledger</w:t>
      </w:r>
    </w:p>
    <w:p>
      <w:r>
        <w:rPr>
          <w:rFonts w:ascii="Noto Sans Myanmar" w:hAnsi="Noto Sans Myanmar" w:eastAsia="Noto Sans Myanmar"/>
          <w:color w:val="1A6A68"/>
          <w:sz w:val="30"/>
        </w:rPr>
        <w:t>နောက်ဆုံးမိုင်ကို ရှင်းလင်းစေမယ့် Last Mile Ledger</w:t>
      </w:r>
    </w:p>
    <w:p>
      <w:r>
        <w:rPr>
          <w:b/>
          <w:color w:val="6B7280"/>
          <w:sz w:val="18"/>
        </w:rPr>
        <w:t>CAMPAIGN / ACTIVATION PROPOSAL  •  CMP-2026-LOGISTICS-02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SME route-visibility retail and merchant activation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Small merchants need a practical conversation about deliveries, returns and customer communication without being sold an unverified service promise.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informal delivery frustration to a client-approved merchant consultation.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SME owners and e-commerce operators who need to frame delivery experience requirements.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Every Stop Leaves a Clearer Story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an early October 2026 SME planning window, with public-holiday operating suitability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paper 'last-mile ledger' lets merchants prioritise notification, handover or returns questions and book a consented consultation.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9.6m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19.4m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39.8m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2.9m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6.6m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3.5m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2.3m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2.1m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1.9m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 merchant cards / 4 consultations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38 merchant cards / 10 consultations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70 merchant cards / 20 consultations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merchant priority cards; consented consultations; return-journey briefs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merchant eligibility</w:t>
      </w:r>
    </w:p>
    <w:p>
      <w:pPr>
        <w:pStyle w:val="ListBullet"/>
        <w:spacing w:after="40"/>
      </w:pPr>
      <w:r>
        <w:t>privacy notice</w:t>
      </w:r>
    </w:p>
    <w:p>
      <w:pPr>
        <w:pStyle w:val="ListBullet"/>
        <w:spacing w:after="40"/>
      </w:pPr>
      <w:r>
        <w:t>brand/merchant permissions</w:t>
      </w:r>
    </w:p>
    <w:p>
      <w:pPr>
        <w:pStyle w:val="ListBullet"/>
        <w:spacing w:after="40"/>
      </w:pPr>
      <w:r>
        <w:t>follow-up process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Logistics Institute / MIFFA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https://myanmarlogisticsinstitute.com/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EuroCham Myanmar — Logistics Briefing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https://eurocham-myanmar.org/events/logistics-briefing-current-global-trade-transport-insights-for-businesses-in-myanmar/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