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Route Before Rush</w:t>
      </w:r>
    </w:p>
    <w:p>
      <w:r>
        <w:rPr>
          <w:rFonts w:ascii="Noto Sans Myanmar" w:hAnsi="Noto Sans Myanmar" w:eastAsia="Noto Sans Myanmar"/>
          <w:color w:val="1A6A68"/>
          <w:sz w:val="30"/>
        </w:rPr>
        <w:t>အလျင်မတက်ခင် လမ်းကြောင်းစဉ်းစားမယ့် Route Before Rush</w:t>
      </w:r>
    </w:p>
    <w:p>
      <w:r>
        <w:rPr>
          <w:b/>
          <w:color w:val="6B7280"/>
          <w:sz w:val="18"/>
        </w:rPr>
        <w:t>CAMPAIGN / ACTIVATION PROPOSAL  •  CMP-2026-LOGISTICS-04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executive demand-planning forum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Business leaders can defer capacity and coordination decisions until a peak period makes the conversation harder.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reactive planning to a named, client-approved route and coordination session.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Commercial, operations and procurement leaders responsible for a client-defined seasonal or promotional period.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 the Rush Before It Plans You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Q4 2026 planning, with holiday dates used only as calendar guardrails and client demand assumptions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facilitated 'decision window' board captures non-sensitive planning questions and offers an executive follow-up session.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15.6m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32.2m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65.6m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4.8m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10.9m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5.8m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3.9m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3.5m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3.2m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 executive seats / 3 planning sessions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22 executive seats / 7 planning sessions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40 executive seats / 13 planning sessions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decision-window participation; named planning sessions; approved next-step briefs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demand assumptions</w:t>
      </w:r>
    </w:p>
    <w:p>
      <w:pPr>
        <w:pStyle w:val="ListBullet"/>
        <w:spacing w:after="40"/>
      </w:pPr>
      <w:r>
        <w:t>executive invite list</w:t>
      </w:r>
    </w:p>
    <w:p>
      <w:pPr>
        <w:pStyle w:val="ListBullet"/>
        <w:spacing w:after="40"/>
      </w:pPr>
      <w:r>
        <w:t>data boundaries</w:t>
      </w:r>
    </w:p>
    <w:p>
      <w:pPr>
        <w:pStyle w:val="ListBullet"/>
        <w:spacing w:after="40"/>
      </w:pPr>
      <w:r>
        <w:t>facilitation plan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Government — Upcoming Holidays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https://myanmar.gov.mm/upcoming-holidays/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