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E8834"/>
          <w:sz w:val="22"/>
        </w:rPr>
        <w:t>ZYNTH</w:t>
      </w:r>
      <w:r>
        <w:rPr>
          <w:sz w:val="17"/>
        </w:rPr>
        <w:t xml:space="preserve">  |  Myanmar-First Bilingual Production System</w:t>
      </w:r>
    </w:p>
    <w:p>
      <w:pPr>
        <w:pStyle w:val="Title"/>
      </w:pPr>
      <w:r>
        <w:t>The Resilience Desk</w:t>
      </w:r>
    </w:p>
    <w:p>
      <w:r>
        <w:rPr>
          <w:rFonts w:ascii="Noto Sans Myanmar" w:hAnsi="Noto Sans Myanmar" w:eastAsia="Noto Sans Myanmar"/>
          <w:color w:val="1A6A68"/>
          <w:sz w:val="30"/>
        </w:rPr>
        <w:t>အနှောင့်အယှက်ကို စီမံမယ့် Resilience Desk</w:t>
      </w:r>
    </w:p>
    <w:p>
      <w:r>
        <w:rPr>
          <w:b/>
          <w:color w:val="6B7280"/>
          <w:sz w:val="18"/>
        </w:rPr>
        <w:t>CAMPAIGN / ACTIVATION PROPOSAL  •  CMP-2026-LOGISTICS-10  •  Logistics / Myanmar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8"/>
              </w:rPr>
              <w:t>Client-ready planning proposal. All client, customer, carrier, fleet, route, port, warehouse, data, price, capacity, safety, permit, rights, partner and performance elements are proposed/TBC until written approval.</w:t>
            </w:r>
          </w:p>
        </w:tc>
      </w:tr>
    </w:tbl>
    <w:p>
      <w:pPr>
        <w:pStyle w:val="Heading1"/>
      </w:pPr>
      <w:r>
        <w:t>1. Commercial Brief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စီးပွားရေးဆိုင်ရာ အကျဉ်းချုပ်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Format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account-based disruption decision sprint and CRM reactivation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Commercial tension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Past customer conversations can stall when leaders face disruption, changing priorities or unclear next decisions.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Objective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Move from dormant conversation to an explicit re-scope, defer or discovery-decision meeting.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Audience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Client-owned, consented B2B contacts only; no outreach occurs until the client confirms data rights and messaging.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Creative territory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When the Route Changes, the Conversation Can Continue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Seasonal / date logic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Proposed for December 2026 account-planning, avoiding public-holiday communication dates unless the client confirms suitability.</w:t>
            </w:r>
          </w:p>
        </w:tc>
      </w:tr>
    </w:tbl>
    <w:p/>
    <w:p>
      <w:pPr>
        <w:pStyle w:val="Heading1"/>
      </w:pPr>
      <w:r>
        <w:t>2. Conversion Experience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ပြောင်းလဲမှု အတွေ့အကြုံ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Conversion mechanism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 three-option decision message routes consented contacts to a client-approved decision sprint; no service-continuity promise is made.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Experience flow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1) Notice the decision tension  2) Work through a controlled fictional scenario  3) Identify a next question and accountable owner  4) Give consent for a client-approved discovery conversation.</w:t>
            </w:r>
          </w:p>
        </w:tc>
      </w:tr>
    </w:tbl>
    <w:p/>
    <w:p>
      <w:pPr>
        <w:pStyle w:val="Heading1"/>
      </w:pPr>
      <w:r>
        <w:t>3. Proposed Workplan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အဆိုပြုလုပ်ငန်းစဉ်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2628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Indicative timing</w:t>
            </w:r>
          </w:p>
        </w:tc>
        <w:tc>
          <w:tcPr>
            <w:tcW w:type="dxa" w:w="2628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ZYNTH output</w:t>
            </w:r>
          </w:p>
        </w:tc>
        <w:tc>
          <w:tcPr>
            <w:tcW w:type="dxa" w:w="2628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Client decision required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G0–G1: Brief &amp; evidence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1–2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Evidence register, audience hypothesis, operational/claim boundary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objective, data boundary and factual service/product context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G2–G3: Strategy &amp; creative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3–5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Journey, creative route, experience/content plan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Select route and priority conversion action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G4: Feasibility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6–8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Safety, route/site, privacy, rights, staffing and risk register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Name accountable owners and clear go/no-go conditions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G5: Production readiness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9–12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Run-of-show, asset list, training, capture and escalation plan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final assets, rules, terms and operations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G6–G7: Live &amp; learn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Client/site-confirmed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Dashboard check, daily log, decision record and learning note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optimisation or close-out</w:t>
            </w:r>
          </w:p>
        </w:tc>
      </w:tr>
    </w:tbl>
    <w:p/>
    <w:p>
      <w:pPr>
        <w:pStyle w:val="Heading1"/>
      </w:pPr>
      <w:r>
        <w:t>4. Budget Envelope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ဘတ်ဂျက် စီမံကိန်း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scenario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Non-tax envelope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Use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Lean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7.2m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Minimum viable controlled pilot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Recommended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14.9m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Balanced production, operations and learning capacity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Flagship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30.5m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Expanded route, content and operational capacity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Recommended budget workstream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Indicative share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amount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Strategy, creative &amp; project direction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15%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2.2m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Experience/production operations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34%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5.1m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Staffing, training &amp; facilitation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18%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2.7m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Data, CRM &amp; reporting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12%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1.8m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Safety, route/site and guest operations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11%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1.6m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Contingency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1.5m</w:t>
            </w:r>
          </w:p>
        </w:tc>
      </w:tr>
    </w:tbl>
    <w:p/>
    <w:p>
      <w:pPr>
        <w:pStyle w:val="Heading1"/>
      </w:pPr>
      <w:r>
        <w:t>5. Measurement and Commercial Scenarios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စောင့်ကြည့်တိုင်းတာမှုနှင့် Scenario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5256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Directional outcome</w:t>
            </w:r>
          </w:p>
        </w:tc>
      </w:tr>
      <w:tr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Conservative</w:t>
            </w:r>
          </w:p>
        </w:tc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12 re-engagement responses / 2 meetings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Base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28 re-engagement responses / 7 meetings</w:t>
            </w:r>
          </w:p>
        </w:tc>
      </w:tr>
      <w:tr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Upside</w:t>
            </w:r>
          </w:p>
        </w:tc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52 re-engagement responses / 14 meetings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Primary KPIs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consented responses; decision meetings; explicit re-scope/defer outcomes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Data rule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Capture only client-approved, consented data needed for a stated follow-up. Do not display or collect real shipment, customer, employee, route, fleet, cargo or commercial-confidential data.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Scenario rule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Planning assumptions only. Replace with client funnel, margin, service capacity, route, inventory and attribution data before commercial sign-off.</w:t>
            </w:r>
          </w:p>
        </w:tc>
      </w:tr>
    </w:tbl>
    <w:p/>
    <w:p>
      <w:pPr>
        <w:pStyle w:val="Heading1"/>
      </w:pPr>
      <w:r>
        <w:t>6. Mandatory Preflight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မဖြစ်မနေ အတည်ပြုရမည့်အချက်များ</w:t>
      </w:r>
    </w:p>
    <w:p>
      <w:pPr>
        <w:pStyle w:val="ListBullet"/>
        <w:spacing w:after="40"/>
      </w:pPr>
      <w:r>
        <w:t>CRM data rights</w:t>
      </w:r>
    </w:p>
    <w:p>
      <w:pPr>
        <w:pStyle w:val="ListBullet"/>
        <w:spacing w:after="40"/>
      </w:pPr>
      <w:r>
        <w:t>message approval</w:t>
      </w:r>
    </w:p>
    <w:p>
      <w:pPr>
        <w:pStyle w:val="ListBullet"/>
        <w:spacing w:after="40"/>
      </w:pPr>
      <w:r>
        <w:t>privacy/opt-out language</w:t>
      </w:r>
    </w:p>
    <w:p>
      <w:pPr>
        <w:pStyle w:val="ListBullet"/>
        <w:spacing w:after="40"/>
      </w:pPr>
      <w:r>
        <w:t>sales ownership</w:t>
      </w:r>
    </w:p>
    <w:p>
      <w:pPr>
        <w:pStyle w:val="ListBullet"/>
        <w:spacing w:after="40"/>
      </w:pPr>
      <w:r>
        <w:t>No price, transit time, delivery, capacity, customs, safety, security, tracking, emissions, route, warehouse, carrier, port, employment, service-level or partnership claim may be used without written client/legal approval.</w:t>
      </w:r>
    </w:p>
    <w:p>
      <w:pPr>
        <w:pStyle w:val="ListBullet"/>
        <w:spacing w:after="40"/>
      </w:pPr>
      <w:r>
        <w:t>All third-party visual, location, vehicle, person, uniform, system-interface, music, talent and photography rights must be cleared before production.</w:t>
      </w:r>
    </w:p>
    <w:p>
      <w:pPr>
        <w:pStyle w:val="Heading1"/>
      </w:pPr>
      <w:r>
        <w:t>7. Evidence and Use Limits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အထောက်အထားနှင့် အသုံးပြုခွင့် ကန့်သတ်ချက်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ID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Public source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URL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LOG-S02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EuroCham Myanmar — Logistics Briefing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https://eurocham-myanmar.org/events/logistics-briefing-current-global-trade-transport-insights-for-businesses-in-myanmar/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LOG-S06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Myanmar Government — Upcoming Holidays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https://myanmar.gov.mm/upcoming-holidays/</w:t>
            </w:r>
          </w:p>
        </w:tc>
      </w:tr>
    </w:tbl>
    <w:p/>
    <w:p>
      <w:r>
        <w:t>Evidence use: sources provide public logistics, trade, transport, capability and calendar context only. They do not validate any future commercial partnership, venue, route, carrier, capacity, performance, attendance, lead or sales outcome.</w:t>
      </w:r>
    </w:p>
    <w:p>
      <w:pPr>
        <w:pStyle w:val="Caption"/>
      </w:pPr>
      <w:r>
        <w:t>Prepared by Manus AI for ZYNTH. Planning document only; not a contract, supplier quotation, legal advice, safety clearance, route plan or operational approval.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Myanmar" w:hAnsi="Noto Sans Myanmar" w:eastAsia="Noto Sans Myanmar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1A6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173A5E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Myanmar" w:hAnsi="Noto Sans Myanmar" w:eastAsia="Noto Sans Myanmar"/>
      <w:color w:val="173A5E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