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D7416">
      <w:pPr>
        <w:ind w:firstLine="880"/>
        <w:jc w:val="center"/>
        <w:rPr>
          <w:rFonts w:hint="eastAsia" w:ascii="黑体" w:hAnsi="黑体" w:eastAsia="黑体" w:cs="黑体"/>
          <w:sz w:val="44"/>
          <w:szCs w:val="44"/>
        </w:rPr>
      </w:pPr>
    </w:p>
    <w:p w14:paraId="479B5E4A">
      <w:pPr>
        <w:ind w:firstLine="880"/>
        <w:jc w:val="center"/>
        <w:rPr>
          <w:rFonts w:hint="eastAsia" w:ascii="黑体" w:hAnsi="黑体" w:eastAsia="黑体" w:cs="黑体"/>
          <w:sz w:val="44"/>
          <w:szCs w:val="44"/>
        </w:rPr>
      </w:pPr>
    </w:p>
    <w:p w14:paraId="2E7D15C0">
      <w:pPr>
        <w:ind w:firstLine="880"/>
        <w:jc w:val="center"/>
        <w:rPr>
          <w:rFonts w:hint="eastAsia" w:ascii="黑体" w:hAnsi="黑体" w:eastAsia="黑体" w:cs="黑体"/>
          <w:sz w:val="44"/>
          <w:szCs w:val="44"/>
        </w:rPr>
      </w:pPr>
    </w:p>
    <w:p w14:paraId="0FB82A90">
      <w:pPr>
        <w:ind w:firstLine="0" w:firstLineChars="0"/>
        <w:jc w:val="center"/>
        <w:rPr>
          <w:rFonts w:hint="eastAsia" w:ascii="黑体" w:hAnsi="黑体" w:eastAsia="黑体" w:cs="黑体"/>
          <w:sz w:val="44"/>
          <w:szCs w:val="44"/>
        </w:rPr>
      </w:pPr>
      <w:r>
        <w:rPr>
          <w:rFonts w:hint="eastAsia" w:ascii="黑体" w:hAnsi="黑体" w:eastAsia="黑体" w:cs="黑体"/>
          <w:sz w:val="44"/>
          <w:szCs w:val="44"/>
        </w:rPr>
        <w:t>2026年第八届</w:t>
      </w:r>
    </w:p>
    <w:p w14:paraId="2745988D">
      <w:pPr>
        <w:ind w:firstLine="0" w:firstLineChars="0"/>
        <w:jc w:val="center"/>
        <w:rPr>
          <w:rFonts w:hint="eastAsia" w:ascii="黑体" w:hAnsi="黑体" w:eastAsia="黑体" w:cs="黑体"/>
          <w:sz w:val="44"/>
          <w:szCs w:val="44"/>
        </w:rPr>
      </w:pPr>
      <w:r>
        <w:rPr>
          <w:rFonts w:hint="eastAsia" w:ascii="黑体" w:hAnsi="黑体" w:eastAsia="黑体" w:cs="黑体"/>
          <w:sz w:val="44"/>
          <w:szCs w:val="44"/>
        </w:rPr>
        <w:t>全球校园人工智能算法精英大赛</w:t>
      </w:r>
    </w:p>
    <w:p w14:paraId="33FA2294">
      <w:pPr>
        <w:ind w:firstLine="0" w:firstLineChars="0"/>
        <w:rPr>
          <w:rFonts w:hint="eastAsia" w:ascii="黑体" w:hAnsi="黑体" w:eastAsia="黑体" w:cs="黑体"/>
          <w:sz w:val="44"/>
          <w:szCs w:val="44"/>
        </w:rPr>
      </w:pPr>
    </w:p>
    <w:p w14:paraId="1E0D5AF0">
      <w:pPr>
        <w:ind w:firstLine="0" w:firstLineChars="0"/>
        <w:jc w:val="center"/>
        <w:rPr>
          <w:rFonts w:hint="eastAsia" w:ascii="黑体" w:hAnsi="黑体" w:eastAsia="黑体" w:cs="黑体"/>
          <w:sz w:val="40"/>
          <w:szCs w:val="40"/>
        </w:rPr>
      </w:pPr>
      <w:r>
        <w:rPr>
          <w:rFonts w:hint="eastAsia" w:ascii="黑体" w:hAnsi="黑体" w:eastAsia="黑体" w:cs="黑体"/>
          <w:sz w:val="40"/>
          <w:szCs w:val="40"/>
        </w:rPr>
        <w:t>算法创新赛</w:t>
      </w:r>
    </w:p>
    <w:p w14:paraId="0166747F">
      <w:pPr>
        <w:ind w:firstLine="0" w:firstLineChars="0"/>
        <w:jc w:val="center"/>
        <w:rPr>
          <w:rFonts w:hint="eastAsia" w:ascii="黑体" w:hAnsi="黑体" w:eastAsia="黑体" w:cs="黑体"/>
          <w:sz w:val="36"/>
          <w:szCs w:val="36"/>
        </w:rPr>
      </w:pPr>
      <w:r>
        <w:rPr>
          <w:rFonts w:hint="eastAsia" w:ascii="黑体" w:hAnsi="黑体" w:eastAsia="黑体" w:cs="黑体"/>
          <w:sz w:val="36"/>
          <w:szCs w:val="36"/>
        </w:rPr>
        <w:t>（赛题名称）</w:t>
      </w:r>
    </w:p>
    <w:p w14:paraId="528FCE4E">
      <w:pPr>
        <w:ind w:firstLine="0" w:firstLineChars="0"/>
        <w:jc w:val="center"/>
        <w:rPr>
          <w:rFonts w:hint="eastAsia" w:ascii="黑体" w:hAnsi="黑体" w:eastAsia="黑体" w:cs="黑体"/>
          <w:sz w:val="44"/>
          <w:szCs w:val="44"/>
        </w:rPr>
      </w:pPr>
      <w:r>
        <w:rPr>
          <w:rFonts w:hint="eastAsia" w:ascii="黑体" w:hAnsi="黑体" w:eastAsia="黑体" w:cs="黑体"/>
          <w:sz w:val="40"/>
          <w:szCs w:val="40"/>
        </w:rPr>
        <w:t>技术报告</w:t>
      </w:r>
    </w:p>
    <w:p w14:paraId="71EA5994">
      <w:pPr>
        <w:ind w:firstLine="880"/>
        <w:rPr>
          <w:rFonts w:hint="eastAsia" w:ascii="黑体" w:hAnsi="黑体" w:eastAsia="黑体" w:cs="黑体"/>
          <w:sz w:val="44"/>
          <w:szCs w:val="44"/>
        </w:rPr>
      </w:pPr>
    </w:p>
    <w:p w14:paraId="467B86DD">
      <w:pPr>
        <w:ind w:firstLine="2320" w:firstLineChars="725"/>
        <w:rPr>
          <w:rFonts w:hint="eastAsia" w:ascii="仿宋" w:hAnsi="仿宋" w:eastAsia="仿宋" w:cs="仿宋"/>
          <w:sz w:val="32"/>
          <w:szCs w:val="32"/>
          <w:u w:val="single"/>
        </w:rPr>
      </w:pPr>
      <w:r>
        <w:rPr>
          <w:rFonts w:hint="eastAsia" w:ascii="仿宋" w:hAnsi="仿宋" w:eastAsia="仿宋" w:cs="仿宋"/>
          <w:sz w:val="32"/>
          <w:szCs w:val="32"/>
        </w:rPr>
        <w:t>团队名称：</w:t>
      </w:r>
      <w:r>
        <w:rPr>
          <w:rFonts w:hint="eastAsia" w:ascii="仿宋" w:hAnsi="仿宋" w:eastAsia="仿宋" w:cs="仿宋"/>
          <w:sz w:val="32"/>
          <w:szCs w:val="32"/>
          <w:u w:val="single"/>
        </w:rPr>
      </w:r>
      <w:r>
        <w:rPr>
          <w:rFonts w:ascii="仿宋" w:hAnsi="仿宋"/>
          <w:sz w:val="32"/>
        </w:rPr>
        <w:t>灵犀智臂</w:t>
      </w:r>
    </w:p>
    <w:p w14:paraId="0BF1AF1E">
      <w:pPr>
        <w:ind w:firstLine="2320" w:firstLineChars="725"/>
        <w:rPr>
          <w:rFonts w:ascii="仿宋" w:hAnsi="仿宋" w:eastAsia="仿宋" w:cs="仿宋"/>
          <w:sz w:val="32"/>
          <w:szCs w:val="32"/>
          <w:u w:val="single"/>
        </w:rPr>
      </w:pPr>
      <w:r>
        <w:rPr>
          <w:rFonts w:hint="eastAsia" w:ascii="仿宋" w:hAnsi="仿宋" w:eastAsia="仿宋" w:cs="仿宋"/>
          <w:sz w:val="32"/>
          <w:szCs w:val="32"/>
        </w:rPr>
        <w:t>参赛编号</w:t>
      </w:r>
      <w:r>
        <w:rPr>
          <w:rFonts w:hint="eastAsia" w:ascii="仿宋" w:hAnsi="仿宋" w:cs="仿宋"/>
          <w:sz w:val="32"/>
          <w:szCs w:val="32"/>
        </w:rPr>
        <w:t>：</w:t>
      </w:r>
      <w:r>
        <w:rPr>
          <w:rFonts w:hint="eastAsia" w:ascii="仿宋" w:hAnsi="仿宋" w:cs="仿宋"/>
          <w:sz w:val="32"/>
          <w:szCs w:val="32"/>
          <w:u w:val="single"/>
        </w:rPr>
        <w:t xml:space="preserve">AIC-2026-    </w:t>
      </w:r>
    </w:p>
    <w:p w14:paraId="51D7DBC7">
      <w:pPr>
        <w:ind w:firstLine="2320" w:firstLineChars="725"/>
        <w:rPr>
          <w:rFonts w:hint="eastAsia" w:ascii="黑体" w:hAnsi="黑体" w:eastAsia="仿宋" w:cs="黑体"/>
          <w:sz w:val="44"/>
          <w:szCs w:val="44"/>
          <w:lang w:eastAsia="zh-CN"/>
        </w:rPr>
      </w:pPr>
      <w:r>
        <w:rPr>
          <w:rFonts w:hint="eastAsia" w:ascii="仿宋" w:hAnsi="仿宋" w:eastAsia="仿宋" w:cs="仿宋"/>
          <w:sz w:val="32"/>
          <w:szCs w:val="32"/>
        </w:rPr>
        <w:t>作品名称：</w:t>
      </w:r>
      <w:r>
        <w:rPr>
          <w:rFonts w:hint="eastAsia" w:ascii="仿宋" w:hAnsi="仿宋" w:eastAsia="仿宋" w:cs="仿宋"/>
          <w:sz w:val="32"/>
          <w:szCs w:val="32"/>
          <w:u w:val="single"/>
        </w:rPr>
        <w:t>面向辅助机械臂的自适应脑电解码算法</w:t>
      </w:r>
    </w:p>
    <w:p w14:paraId="61173EE0">
      <w:pPr>
        <w:ind w:firstLine="880"/>
        <w:rPr>
          <w:rFonts w:hint="eastAsia" w:ascii="黑体" w:hAnsi="黑体" w:eastAsia="黑体" w:cs="黑体"/>
          <w:sz w:val="44"/>
          <w:szCs w:val="44"/>
        </w:rPr>
      </w:pPr>
    </w:p>
    <w:p w14:paraId="53D4128E">
      <w:pPr>
        <w:ind w:firstLine="880"/>
        <w:rPr>
          <w:rFonts w:hint="eastAsia" w:ascii="黑体" w:hAnsi="黑体" w:eastAsia="黑体" w:cs="黑体"/>
          <w:sz w:val="44"/>
          <w:szCs w:val="44"/>
        </w:rPr>
      </w:pPr>
    </w:p>
    <w:p w14:paraId="09D8C31B">
      <w:pPr>
        <w:ind w:firstLine="880"/>
        <w:rPr>
          <w:rFonts w:hint="eastAsia" w:ascii="黑体" w:hAnsi="黑体" w:eastAsia="黑体" w:cs="黑体"/>
          <w:sz w:val="44"/>
          <w:szCs w:val="44"/>
        </w:rPr>
      </w:pPr>
    </w:p>
    <w:p w14:paraId="5BC19D67">
      <w:pPr>
        <w:ind w:firstLine="880"/>
        <w:rPr>
          <w:rFonts w:hint="eastAsia" w:ascii="黑体" w:hAnsi="黑体" w:eastAsia="黑体" w:cs="黑体"/>
          <w:sz w:val="44"/>
          <w:szCs w:val="44"/>
        </w:rPr>
      </w:pPr>
    </w:p>
    <w:p w14:paraId="2DC053E8">
      <w:pPr>
        <w:ind w:firstLine="880"/>
        <w:rPr>
          <w:rFonts w:hint="eastAsia" w:ascii="黑体" w:hAnsi="黑体" w:eastAsia="黑体" w:cs="黑体"/>
          <w:sz w:val="44"/>
          <w:szCs w:val="44"/>
        </w:rPr>
      </w:pPr>
    </w:p>
    <w:p w14:paraId="465FBCCE">
      <w:pPr>
        <w:ind w:firstLine="880"/>
        <w:rPr>
          <w:rFonts w:hint="eastAsia" w:ascii="黑体" w:hAnsi="黑体" w:eastAsia="黑体" w:cs="黑体"/>
          <w:sz w:val="44"/>
          <w:szCs w:val="44"/>
        </w:rPr>
      </w:pPr>
    </w:p>
    <w:p w14:paraId="61DAF649">
      <w:pPr>
        <w:ind w:firstLine="2320" w:firstLineChars="725"/>
        <w:rPr>
          <w:rFonts w:hint="eastAsia" w:ascii="仿宋" w:hAnsi="仿宋" w:cs="仿宋"/>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17" w:right="1701" w:bottom="1417" w:left="1701" w:header="850" w:footer="850" w:gutter="0"/>
          <w:pgNumType w:fmt="upperRoman" w:start="1"/>
          <w:cols w:space="720" w:num="1"/>
          <w:docGrid w:type="lines" w:linePitch="333" w:charSpace="0"/>
        </w:sectPr>
      </w:pPr>
      <w:r>
        <w:rPr>
          <w:rFonts w:hint="eastAsia" w:ascii="仿宋" w:hAnsi="仿宋" w:cs="仿宋"/>
          <w:sz w:val="32"/>
          <w:szCs w:val="32"/>
        </w:rPr>
        <w:t>日期：xx年x月xx日</w:t>
      </w:r>
    </w:p>
    <w:p w14:paraId="28274B5A">
      <w:pPr>
        <w:pageBreakBefore/>
        <w:spacing w:before="340" w:after="340"/>
        <w:ind w:firstLine="883"/>
        <w:jc w:val="center"/>
        <w:rPr>
          <w:rFonts w:eastAsia="黑体"/>
          <w:kern w:val="44"/>
          <w:sz w:val="30"/>
          <w:szCs w:val="44"/>
        </w:rPr>
      </w:pPr>
      <w:r>
        <w:rPr>
          <w:rFonts w:hint="eastAsia" w:ascii="宋体" w:hAnsi="宋体" w:cs="宋体"/>
          <w:b/>
          <w:bCs/>
          <w:kern w:val="44"/>
          <w:sz w:val="44"/>
          <w:szCs w:val="44"/>
        </w:rPr>
        <w:t xml:space="preserve">目  </w:t>
      </w:r>
      <w:bookmarkStart w:id="0" w:name="论文目录"/>
      <w:bookmarkEnd w:id="0"/>
      <w:r>
        <w:rPr>
          <w:rFonts w:hint="eastAsia" w:ascii="宋体" w:hAnsi="宋体" w:cs="宋体"/>
          <w:b/>
          <w:bCs/>
          <w:kern w:val="44"/>
          <w:sz w:val="44"/>
          <w:szCs w:val="44"/>
        </w:rPr>
        <w:t>录</w:t>
      </w:r>
    </w:p>
    <w:p w14:paraId="620B81AF">
      <w:pPr>
        <w:pStyle w:val="10"/>
        <w:tabs>
          <w:tab w:val="right" w:leader="dot" w:pos="8504"/>
          <w:tab w:val="clear" w:pos="8296"/>
        </w:tabs>
      </w:pPr>
      <w:r>
        <w:rPr>
          <w:rFonts w:eastAsia="楷体"/>
          <w:bCs/>
          <w:sz w:val="32"/>
          <w:szCs w:val="32"/>
        </w:rPr>
        <w:fldChar w:fldCharType="begin"/>
      </w:r>
      <w:r>
        <w:rPr>
          <w:rFonts w:eastAsia="楷体"/>
          <w:bCs/>
          <w:sz w:val="32"/>
          <w:szCs w:val="32"/>
        </w:rPr>
        <w:instrText xml:space="preserve"> TOC \o "1-3" \h \z \u </w:instrText>
      </w:r>
      <w:r>
        <w:rPr>
          <w:rFonts w:eastAsia="楷体"/>
          <w:bCs/>
          <w:sz w:val="32"/>
          <w:szCs w:val="32"/>
        </w:rPr>
        <w:fldChar w:fldCharType="separate"/>
      </w:r>
      <w:r>
        <w:rPr>
          <w:rFonts w:eastAsia="楷体"/>
          <w:bCs/>
          <w:szCs w:val="32"/>
        </w:rPr>
        <w:fldChar w:fldCharType="begin"/>
      </w:r>
      <w:r>
        <w:rPr>
          <w:rFonts w:eastAsia="楷体"/>
          <w:bCs/>
          <w:szCs w:val="32"/>
        </w:rPr>
        <w:instrText xml:space="preserve"> HYPERLINK \l _Toc29644 </w:instrText>
      </w:r>
      <w:r>
        <w:rPr>
          <w:rFonts w:eastAsia="楷体"/>
          <w:bCs/>
          <w:szCs w:val="32"/>
        </w:rPr>
        <w:fldChar w:fldCharType="separate"/>
      </w:r>
      <w:r>
        <w:rPr>
          <w:rFonts w:hint="eastAsia"/>
        </w:rPr>
        <w:t>作品简介</w:t>
      </w:r>
      <w:r>
        <w:tab/>
      </w:r>
      <w:r>
        <w:fldChar w:fldCharType="begin"/>
      </w:r>
      <w:r>
        <w:instrText xml:space="preserve"> PAGEREF _Toc29644 \h </w:instrText>
      </w:r>
      <w:r>
        <w:fldChar w:fldCharType="separate"/>
      </w:r>
      <w:r>
        <w:t>3</w:t>
      </w:r>
      <w:r>
        <w:fldChar w:fldCharType="end"/>
      </w:r>
      <w:r>
        <w:rPr>
          <w:rFonts w:eastAsia="楷体"/>
          <w:bCs/>
          <w:szCs w:val="32"/>
        </w:rPr>
        <w:fldChar w:fldCharType="end"/>
      </w:r>
    </w:p>
    <w:p w14:paraId="13C13803">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_Toc7371 </w:instrText>
      </w:r>
      <w:r>
        <w:rPr>
          <w:rFonts w:eastAsia="楷体"/>
          <w:bCs/>
          <w:kern w:val="0"/>
          <w:szCs w:val="32"/>
        </w:rPr>
        <w:fldChar w:fldCharType="separate"/>
      </w:r>
      <w:r>
        <w:t>一、项目概述</w:t>
      </w:r>
      <w:r>
        <w:tab/>
      </w:r>
      <w:r>
        <w:fldChar w:fldCharType="begin"/>
      </w:r>
      <w:r>
        <w:instrText xml:space="preserve"> PAGEREF _Toc7371 \h </w:instrText>
      </w:r>
      <w:r>
        <w:fldChar w:fldCharType="separate"/>
      </w:r>
      <w:r>
        <w:t>4</w:t>
      </w:r>
      <w:r>
        <w:fldChar w:fldCharType="end"/>
      </w:r>
      <w:r>
        <w:rPr>
          <w:rFonts w:eastAsia="楷体"/>
          <w:bCs/>
          <w:kern w:val="0"/>
          <w:szCs w:val="32"/>
        </w:rPr>
        <w:fldChar w:fldCharType="end"/>
      </w:r>
    </w:p>
    <w:p w14:paraId="3DEE0DBE">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_Toc22139 </w:instrText>
      </w:r>
      <w:r>
        <w:rPr>
          <w:rFonts w:eastAsia="楷体"/>
          <w:bCs/>
          <w:kern w:val="0"/>
          <w:szCs w:val="32"/>
        </w:rPr>
        <w:fldChar w:fldCharType="separate"/>
      </w:r>
      <w:r>
        <w:t>（一）项目背景与意义</w:t>
      </w:r>
      <w:r>
        <w:tab/>
      </w:r>
      <w:r>
        <w:fldChar w:fldCharType="begin"/>
      </w:r>
      <w:r>
        <w:instrText xml:space="preserve"> PAGEREF _Toc22139 \h </w:instrText>
      </w:r>
      <w:r>
        <w:fldChar w:fldCharType="separate"/>
      </w:r>
      <w:r>
        <w:t>4</w:t>
      </w:r>
      <w:r>
        <w:fldChar w:fldCharType="end"/>
      </w:r>
      <w:r>
        <w:rPr>
          <w:rFonts w:eastAsia="楷体"/>
          <w:bCs/>
          <w:kern w:val="0"/>
          <w:szCs w:val="32"/>
        </w:rPr>
        <w:fldChar w:fldCharType="end"/>
      </w:r>
    </w:p>
    <w:p w14:paraId="686D2976">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_Toc7188 </w:instrText>
      </w:r>
      <w:r>
        <w:rPr>
          <w:rFonts w:eastAsia="楷体"/>
          <w:bCs/>
          <w:kern w:val="0"/>
          <w:szCs w:val="32"/>
        </w:rPr>
        <w:fldChar w:fldCharType="separate"/>
      </w:r>
      <w:r>
        <w:t>（二）核心目标与赛题定位</w:t>
      </w:r>
      <w:r>
        <w:tab/>
      </w:r>
      <w:r>
        <w:fldChar w:fldCharType="begin"/>
      </w:r>
      <w:r>
        <w:instrText xml:space="preserve"> PAGEREF _Toc7188 \h </w:instrText>
      </w:r>
      <w:r>
        <w:fldChar w:fldCharType="separate"/>
      </w:r>
      <w:r>
        <w:t>4</w:t>
      </w:r>
      <w:r>
        <w:fldChar w:fldCharType="end"/>
      </w:r>
      <w:r>
        <w:rPr>
          <w:rFonts w:eastAsia="楷体"/>
          <w:bCs/>
          <w:kern w:val="0"/>
          <w:szCs w:val="32"/>
        </w:rPr>
        <w:fldChar w:fldCharType="end"/>
      </w:r>
    </w:p>
    <w:p w14:paraId="0311B7E9">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_Toc315 </w:instrText>
      </w:r>
      <w:r>
        <w:rPr>
          <w:rFonts w:eastAsia="楷体"/>
          <w:bCs/>
          <w:kern w:val="0"/>
          <w:szCs w:val="32"/>
        </w:rPr>
        <w:fldChar w:fldCharType="separate"/>
      </w:r>
      <w:r>
        <w:t>二、需求分析</w:t>
      </w:r>
      <w:r>
        <w:tab/>
      </w:r>
      <w:r>
        <w:fldChar w:fldCharType="begin"/>
      </w:r>
      <w:r>
        <w:instrText xml:space="preserve"> PAGEREF _Toc315 \h </w:instrText>
      </w:r>
      <w:r>
        <w:fldChar w:fldCharType="separate"/>
      </w:r>
      <w:r>
        <w:t>4</w:t>
      </w:r>
      <w:r>
        <w:fldChar w:fldCharType="end"/>
      </w:r>
      <w:r>
        <w:rPr>
          <w:rFonts w:eastAsia="楷体"/>
          <w:bCs/>
          <w:kern w:val="0"/>
          <w:szCs w:val="32"/>
        </w:rPr>
        <w:fldChar w:fldCharType="end"/>
      </w:r>
    </w:p>
    <w:p w14:paraId="26370292">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_Toc17958 </w:instrText>
      </w:r>
      <w:r>
        <w:rPr>
          <w:rFonts w:eastAsia="楷体"/>
          <w:bCs/>
          <w:kern w:val="0"/>
          <w:szCs w:val="32"/>
        </w:rPr>
        <w:fldChar w:fldCharType="separate"/>
      </w:r>
      <w:r>
        <w:t>（一）学科专业界定</w:t>
      </w:r>
      <w:r>
        <w:tab/>
      </w:r>
      <w:r>
        <w:fldChar w:fldCharType="begin"/>
      </w:r>
      <w:r>
        <w:instrText xml:space="preserve"> PAGEREF _Toc17958 \h </w:instrText>
      </w:r>
      <w:r>
        <w:fldChar w:fldCharType="separate"/>
      </w:r>
      <w:r>
        <w:t>4</w:t>
      </w:r>
      <w:r>
        <w:fldChar w:fldCharType="end"/>
      </w:r>
      <w:r>
        <w:rPr>
          <w:rFonts w:eastAsia="楷体"/>
          <w:bCs/>
          <w:kern w:val="0"/>
          <w:szCs w:val="32"/>
        </w:rPr>
        <w:fldChar w:fldCharType="end"/>
      </w:r>
    </w:p>
    <w:p w14:paraId="0B576BCC">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_Toc6066 </w:instrText>
      </w:r>
      <w:r>
        <w:rPr>
          <w:rFonts w:eastAsia="楷体"/>
          <w:bCs/>
          <w:kern w:val="0"/>
          <w:szCs w:val="32"/>
        </w:rPr>
        <w:fldChar w:fldCharType="separate"/>
      </w:r>
      <w:r>
        <w:t>（二）核心痛点梳理</w:t>
      </w:r>
      <w:r>
        <w:tab/>
      </w:r>
      <w:r>
        <w:fldChar w:fldCharType="begin"/>
      </w:r>
      <w:r>
        <w:instrText xml:space="preserve"> PAGEREF _Toc6066 \h </w:instrText>
      </w:r>
      <w:r>
        <w:fldChar w:fldCharType="separate"/>
      </w:r>
      <w:r>
        <w:t>5</w:t>
      </w:r>
      <w:r>
        <w:fldChar w:fldCharType="end"/>
      </w:r>
      <w:r>
        <w:rPr>
          <w:rFonts w:eastAsia="楷体"/>
          <w:bCs/>
          <w:kern w:val="0"/>
          <w:szCs w:val="32"/>
        </w:rPr>
        <w:fldChar w:fldCharType="end"/>
      </w:r>
    </w:p>
    <w:p w14:paraId="2033289E">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_Toc2516 </w:instrText>
      </w:r>
      <w:r>
        <w:rPr>
          <w:rFonts w:eastAsia="楷体"/>
          <w:bCs/>
          <w:kern w:val="0"/>
          <w:szCs w:val="32"/>
        </w:rPr>
        <w:fldChar w:fldCharType="separate"/>
      </w:r>
      <w:r>
        <w:t>（三）</w:t>
      </w:r>
      <w:r>
        <w:rPr>
          <w:rFonts w:hint="default" w:ascii="Times New Roman" w:hAnsi="Times New Roman" w:cs="Times New Roman"/>
        </w:rPr>
        <w:t>AI</w:t>
      </w:r>
      <w:r>
        <w:t xml:space="preserve"> 赋能需求与切入点</w:t>
      </w:r>
      <w:r>
        <w:tab/>
      </w:r>
      <w:r>
        <w:fldChar w:fldCharType="begin"/>
      </w:r>
      <w:r>
        <w:instrText xml:space="preserve"> PAGEREF _Toc2516 \h </w:instrText>
      </w:r>
      <w:r>
        <w:fldChar w:fldCharType="separate"/>
      </w:r>
      <w:r>
        <w:t>5</w:t>
      </w:r>
      <w:r>
        <w:fldChar w:fldCharType="end"/>
      </w:r>
      <w:r>
        <w:rPr>
          <w:rFonts w:eastAsia="楷体"/>
          <w:bCs/>
          <w:kern w:val="0"/>
          <w:szCs w:val="32"/>
        </w:rPr>
        <w:fldChar w:fldCharType="end"/>
      </w:r>
    </w:p>
    <w:p w14:paraId="3E034FEC">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_Toc26636 </w:instrText>
      </w:r>
      <w:r>
        <w:rPr>
          <w:rFonts w:eastAsia="楷体"/>
          <w:bCs/>
          <w:kern w:val="0"/>
          <w:szCs w:val="32"/>
        </w:rPr>
        <w:fldChar w:fldCharType="separate"/>
      </w:r>
      <w:r>
        <w:t>三、解决方案设计</w:t>
      </w:r>
      <w:r>
        <w:tab/>
      </w:r>
      <w:r>
        <w:fldChar w:fldCharType="begin"/>
      </w:r>
      <w:r>
        <w:instrText xml:space="preserve"> PAGEREF _Toc26636 \h </w:instrText>
      </w:r>
      <w:r>
        <w:fldChar w:fldCharType="separate"/>
      </w:r>
      <w:r>
        <w:t>6</w:t>
      </w:r>
      <w:r>
        <w:fldChar w:fldCharType="end"/>
      </w:r>
      <w:r>
        <w:rPr>
          <w:rFonts w:eastAsia="楷体"/>
          <w:bCs/>
          <w:kern w:val="0"/>
          <w:szCs w:val="32"/>
        </w:rPr>
        <w:fldChar w:fldCharType="end"/>
      </w:r>
    </w:p>
    <w:p w14:paraId="6AB3AD03">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_Toc13495 </w:instrText>
      </w:r>
      <w:r>
        <w:rPr>
          <w:rFonts w:eastAsia="楷体"/>
          <w:bCs/>
          <w:kern w:val="0"/>
          <w:szCs w:val="32"/>
        </w:rPr>
        <w:fldChar w:fldCharType="separate"/>
      </w:r>
      <w:r>
        <w:t>（一）系统总体架构</w:t>
      </w:r>
      <w:r>
        <w:tab/>
      </w:r>
      <w:r>
        <w:fldChar w:fldCharType="begin"/>
      </w:r>
      <w:r>
        <w:instrText xml:space="preserve"> PAGEREF _Toc13495 \h </w:instrText>
      </w:r>
      <w:r>
        <w:fldChar w:fldCharType="separate"/>
      </w:r>
      <w:r>
        <w:t>6</w:t>
      </w:r>
      <w:r>
        <w:fldChar w:fldCharType="end"/>
      </w:r>
      <w:r>
        <w:rPr>
          <w:rFonts w:eastAsia="楷体"/>
          <w:bCs/>
          <w:kern w:val="0"/>
          <w:szCs w:val="32"/>
        </w:rPr>
        <w:fldChar w:fldCharType="end"/>
      </w:r>
    </w:p>
    <w:p w14:paraId="34AD7681">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_Toc18739 </w:instrText>
      </w:r>
      <w:r>
        <w:rPr>
          <w:rFonts w:eastAsia="楷体"/>
          <w:bCs/>
          <w:kern w:val="0"/>
          <w:szCs w:val="32"/>
        </w:rPr>
        <w:fldChar w:fldCharType="separate"/>
      </w:r>
      <w:r>
        <w:t>（二）数据平台与预处理</w:t>
      </w:r>
      <w:r>
        <w:tab/>
      </w:r>
      <w:r>
        <w:fldChar w:fldCharType="begin"/>
      </w:r>
      <w:r>
        <w:instrText xml:space="preserve"> PAGEREF _Toc18739 \h </w:instrText>
      </w:r>
      <w:r>
        <w:fldChar w:fldCharType="separate"/>
      </w:r>
      <w:r>
        <w:t>6</w:t>
      </w:r>
      <w:r>
        <w:fldChar w:fldCharType="end"/>
      </w:r>
      <w:r>
        <w:rPr>
          <w:rFonts w:eastAsia="楷体"/>
          <w:bCs/>
          <w:kern w:val="0"/>
          <w:szCs w:val="32"/>
        </w:rPr>
        <w:fldChar w:fldCharType="end"/>
      </w:r>
    </w:p>
    <w:p w14:paraId="57EE8AF3">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_Toc19195 </w:instrText>
      </w:r>
      <w:r>
        <w:rPr>
          <w:rFonts w:eastAsia="楷体"/>
          <w:bCs/>
          <w:kern w:val="0"/>
          <w:szCs w:val="32"/>
        </w:rPr>
        <w:fldChar w:fldCharType="separate"/>
      </w:r>
      <w:r>
        <w:t>（三）技术选型依据</w:t>
      </w:r>
      <w:r>
        <w:tab/>
      </w:r>
      <w:r>
        <w:fldChar w:fldCharType="begin"/>
      </w:r>
      <w:r>
        <w:instrText xml:space="preserve"> PAGEREF _Toc19195 \h </w:instrText>
      </w:r>
      <w:r>
        <w:fldChar w:fldCharType="separate"/>
      </w:r>
      <w:r>
        <w:t>7</w:t>
      </w:r>
      <w:r>
        <w:fldChar w:fldCharType="end"/>
      </w:r>
      <w:r>
        <w:rPr>
          <w:rFonts w:eastAsia="楷体"/>
          <w:bCs/>
          <w:kern w:val="0"/>
          <w:szCs w:val="32"/>
        </w:rPr>
        <w:fldChar w:fldCharType="end"/>
      </w:r>
    </w:p>
    <w:p w14:paraId="0F89987B">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_Toc15324 </w:instrText>
      </w:r>
      <w:r>
        <w:rPr>
          <w:rFonts w:eastAsia="楷体"/>
          <w:bCs/>
          <w:kern w:val="0"/>
          <w:szCs w:val="32"/>
        </w:rPr>
        <w:fldChar w:fldCharType="separate"/>
      </w:r>
      <w:r>
        <w:t>（四）</w:t>
      </w:r>
      <w:r>
        <w:rPr>
          <w:rFonts w:hint="default" w:ascii="Times New Roman" w:hAnsi="Times New Roman" w:cs="Times New Roman"/>
        </w:rPr>
        <w:t>STFA-Net</w:t>
      </w:r>
      <w:r>
        <w:t xml:space="preserve"> 核心模型</w:t>
      </w:r>
      <w:r>
        <w:tab/>
      </w:r>
      <w:r>
        <w:fldChar w:fldCharType="begin"/>
      </w:r>
      <w:r>
        <w:instrText xml:space="preserve"> PAGEREF _Toc15324 \h </w:instrText>
      </w:r>
      <w:r>
        <w:fldChar w:fldCharType="separate"/>
      </w:r>
      <w:r>
        <w:t>7</w:t>
      </w:r>
      <w:r>
        <w:fldChar w:fldCharType="end"/>
      </w:r>
      <w:r>
        <w:rPr>
          <w:rFonts w:eastAsia="楷体"/>
          <w:bCs/>
          <w:kern w:val="0"/>
          <w:szCs w:val="32"/>
        </w:rPr>
        <w:fldChar w:fldCharType="end"/>
      </w:r>
    </w:p>
    <w:p w14:paraId="108885A9">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_Toc10936 </w:instrText>
      </w:r>
      <w:r>
        <w:rPr>
          <w:rFonts w:eastAsia="楷体"/>
          <w:bCs/>
          <w:kern w:val="0"/>
          <w:szCs w:val="32"/>
        </w:rPr>
        <w:fldChar w:fldCharType="separate"/>
      </w:r>
      <w:r>
        <w:t>1. 多尺度时间卷积</w:t>
      </w:r>
      <w:r>
        <w:tab/>
      </w:r>
      <w:r>
        <w:fldChar w:fldCharType="begin"/>
      </w:r>
      <w:r>
        <w:instrText xml:space="preserve"> PAGEREF _Toc10936 \h </w:instrText>
      </w:r>
      <w:r>
        <w:fldChar w:fldCharType="separate"/>
      </w:r>
      <w:r>
        <w:t>7</w:t>
      </w:r>
      <w:r>
        <w:fldChar w:fldCharType="end"/>
      </w:r>
      <w:r>
        <w:rPr>
          <w:rFonts w:eastAsia="楷体"/>
          <w:bCs/>
          <w:kern w:val="0"/>
          <w:szCs w:val="32"/>
        </w:rPr>
        <w:fldChar w:fldCharType="end"/>
      </w:r>
    </w:p>
    <w:p w14:paraId="252F70F0">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_Toc27930 </w:instrText>
      </w:r>
      <w:r>
        <w:rPr>
          <w:rFonts w:eastAsia="楷体"/>
          <w:bCs/>
          <w:kern w:val="0"/>
          <w:szCs w:val="32"/>
        </w:rPr>
        <w:fldChar w:fldCharType="separate"/>
      </w:r>
      <w:r>
        <w:t>2. 深度空间卷积</w:t>
      </w:r>
      <w:r>
        <w:tab/>
      </w:r>
      <w:r>
        <w:fldChar w:fldCharType="begin"/>
      </w:r>
      <w:r>
        <w:instrText xml:space="preserve"> PAGEREF _Toc27930 \h </w:instrText>
      </w:r>
      <w:r>
        <w:fldChar w:fldCharType="separate"/>
      </w:r>
      <w:r>
        <w:t>7</w:t>
      </w:r>
      <w:r>
        <w:fldChar w:fldCharType="end"/>
      </w:r>
      <w:r>
        <w:rPr>
          <w:rFonts w:eastAsia="楷体"/>
          <w:bCs/>
          <w:kern w:val="0"/>
          <w:szCs w:val="32"/>
        </w:rPr>
        <w:fldChar w:fldCharType="end"/>
      </w:r>
    </w:p>
    <w:p w14:paraId="0A4CB9FF">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_Toc16068 </w:instrText>
      </w:r>
      <w:r>
        <w:rPr>
          <w:rFonts w:eastAsia="楷体"/>
          <w:bCs/>
          <w:kern w:val="0"/>
          <w:szCs w:val="32"/>
        </w:rPr>
        <w:fldChar w:fldCharType="separate"/>
      </w:r>
      <w:r>
        <w:t>3. STFT 频域分支</w:t>
      </w:r>
      <w:r>
        <w:tab/>
      </w:r>
      <w:r>
        <w:fldChar w:fldCharType="begin"/>
      </w:r>
      <w:r>
        <w:instrText xml:space="preserve"> PAGEREF _Toc16068 \h </w:instrText>
      </w:r>
      <w:r>
        <w:fldChar w:fldCharType="separate"/>
      </w:r>
      <w:r>
        <w:t>7</w:t>
      </w:r>
      <w:r>
        <w:fldChar w:fldCharType="end"/>
      </w:r>
      <w:r>
        <w:rPr>
          <w:rFonts w:eastAsia="楷体"/>
          <w:bCs/>
          <w:kern w:val="0"/>
          <w:szCs w:val="32"/>
        </w:rPr>
        <w:fldChar w:fldCharType="end"/>
      </w:r>
    </w:p>
    <w:p w14:paraId="733F1E69">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_Toc28232 </w:instrText>
      </w:r>
      <w:r>
        <w:rPr>
          <w:rFonts w:eastAsia="楷体"/>
          <w:bCs/>
          <w:kern w:val="0"/>
          <w:szCs w:val="32"/>
        </w:rPr>
        <w:fldChar w:fldCharType="separate"/>
      </w:r>
      <w:r>
        <w:t>4. 自适应特征融合</w:t>
      </w:r>
      <w:r>
        <w:tab/>
      </w:r>
      <w:r>
        <w:fldChar w:fldCharType="begin"/>
      </w:r>
      <w:r>
        <w:instrText xml:space="preserve"> PAGEREF _Toc28232 \h </w:instrText>
      </w:r>
      <w:r>
        <w:fldChar w:fldCharType="separate"/>
      </w:r>
      <w:r>
        <w:t>8</w:t>
      </w:r>
      <w:r>
        <w:fldChar w:fldCharType="end"/>
      </w:r>
      <w:r>
        <w:rPr>
          <w:rFonts w:eastAsia="楷体"/>
          <w:bCs/>
          <w:kern w:val="0"/>
          <w:szCs w:val="32"/>
        </w:rPr>
        <w:fldChar w:fldCharType="end"/>
      </w:r>
    </w:p>
    <w:p w14:paraId="06E33F14">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_Toc25955 </w:instrText>
      </w:r>
      <w:r>
        <w:rPr>
          <w:rFonts w:eastAsia="楷体"/>
          <w:bCs/>
          <w:kern w:val="0"/>
          <w:szCs w:val="32"/>
        </w:rPr>
        <w:fldChar w:fldCharType="separate"/>
      </w:r>
      <w:r>
        <w:t>（五）模块可靠性自适应门控（</w:t>
      </w:r>
      <w:r>
        <w:rPr>
          <w:rFonts w:hint="default" w:ascii="Times New Roman" w:hAnsi="Times New Roman" w:cs="Times New Roman"/>
        </w:rPr>
        <w:t>MAG</w:t>
      </w:r>
      <w:r>
        <w:t>）</w:t>
      </w:r>
      <w:r>
        <w:tab/>
      </w:r>
      <w:r>
        <w:fldChar w:fldCharType="begin"/>
      </w:r>
      <w:r>
        <w:instrText xml:space="preserve"> PAGEREF _Toc25955 \h </w:instrText>
      </w:r>
      <w:r>
        <w:fldChar w:fldCharType="separate"/>
      </w:r>
      <w:r>
        <w:t>8</w:t>
      </w:r>
      <w:r>
        <w:fldChar w:fldCharType="end"/>
      </w:r>
      <w:r>
        <w:rPr>
          <w:rFonts w:eastAsia="楷体"/>
          <w:bCs/>
          <w:kern w:val="0"/>
          <w:szCs w:val="32"/>
        </w:rPr>
        <w:fldChar w:fldCharType="end"/>
      </w:r>
    </w:p>
    <w:p w14:paraId="7C6912A9">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_Toc21903 </w:instrText>
      </w:r>
      <w:r>
        <w:rPr>
          <w:rFonts w:eastAsia="楷体"/>
          <w:bCs/>
          <w:kern w:val="0"/>
          <w:szCs w:val="32"/>
        </w:rPr>
        <w:fldChar w:fldCharType="separate"/>
      </w:r>
      <w:r>
        <w:t>（六）跨被试免校准泛化方法</w:t>
      </w:r>
      <w:r>
        <w:tab/>
      </w:r>
      <w:r>
        <w:fldChar w:fldCharType="begin"/>
      </w:r>
      <w:r>
        <w:instrText xml:space="preserve"> PAGEREF _Toc21903 \h </w:instrText>
      </w:r>
      <w:r>
        <w:fldChar w:fldCharType="separate"/>
      </w:r>
      <w:r>
        <w:t>8</w:t>
      </w:r>
      <w:r>
        <w:fldChar w:fldCharType="end"/>
      </w:r>
      <w:r>
        <w:rPr>
          <w:rFonts w:eastAsia="楷体"/>
          <w:bCs/>
          <w:kern w:val="0"/>
          <w:szCs w:val="32"/>
        </w:rPr>
        <w:fldChar w:fldCharType="end"/>
      </w:r>
    </w:p>
    <w:p w14:paraId="74B28773">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_Toc4424 </w:instrText>
      </w:r>
      <w:r>
        <w:rPr>
          <w:rFonts w:eastAsia="楷体"/>
          <w:bCs/>
          <w:kern w:val="0"/>
          <w:szCs w:val="32"/>
        </w:rPr>
        <w:fldChar w:fldCharType="separate"/>
      </w:r>
      <w:r>
        <w:t>四、方案可行性</w:t>
      </w:r>
      <w:r>
        <w:tab/>
      </w:r>
      <w:r>
        <w:fldChar w:fldCharType="begin"/>
      </w:r>
      <w:r>
        <w:instrText xml:space="preserve"> PAGEREF _Toc4424 \h </w:instrText>
      </w:r>
      <w:r>
        <w:fldChar w:fldCharType="separate"/>
      </w:r>
      <w:r>
        <w:t>9</w:t>
      </w:r>
      <w:r>
        <w:fldChar w:fldCharType="end"/>
      </w:r>
      <w:r>
        <w:rPr>
          <w:rFonts w:eastAsia="楷体"/>
          <w:bCs/>
          <w:kern w:val="0"/>
          <w:szCs w:val="32"/>
        </w:rPr>
        <w:fldChar w:fldCharType="end"/>
      </w:r>
    </w:p>
    <w:p w14:paraId="49C3870A">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_Toc21331 </w:instrText>
      </w:r>
      <w:r>
        <w:rPr>
          <w:rFonts w:eastAsia="楷体"/>
          <w:bCs/>
          <w:kern w:val="0"/>
          <w:szCs w:val="32"/>
        </w:rPr>
        <w:fldChar w:fldCharType="separate"/>
      </w:r>
      <w:r>
        <w:t>（一）技术可行性</w:t>
      </w:r>
      <w:r>
        <w:tab/>
      </w:r>
      <w:r>
        <w:fldChar w:fldCharType="begin"/>
      </w:r>
      <w:r>
        <w:instrText xml:space="preserve"> PAGEREF _Toc21331 \h </w:instrText>
      </w:r>
      <w:r>
        <w:fldChar w:fldCharType="separate"/>
      </w:r>
      <w:r>
        <w:t>9</w:t>
      </w:r>
      <w:r>
        <w:fldChar w:fldCharType="end"/>
      </w:r>
      <w:r>
        <w:rPr>
          <w:rFonts w:eastAsia="楷体"/>
          <w:bCs/>
          <w:kern w:val="0"/>
          <w:szCs w:val="32"/>
        </w:rPr>
        <w:fldChar w:fldCharType="end"/>
      </w:r>
    </w:p>
    <w:p w14:paraId="6D2A2750">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_Toc8127 </w:instrText>
      </w:r>
      <w:r>
        <w:rPr>
          <w:rFonts w:eastAsia="楷体"/>
          <w:bCs/>
          <w:kern w:val="0"/>
          <w:szCs w:val="32"/>
        </w:rPr>
        <w:fldChar w:fldCharType="separate"/>
      </w:r>
      <w:r>
        <w:t>（二）经济可行性</w:t>
      </w:r>
      <w:r>
        <w:tab/>
      </w:r>
      <w:r>
        <w:fldChar w:fldCharType="begin"/>
      </w:r>
      <w:r>
        <w:instrText xml:space="preserve"> PAGEREF _Toc8127 \h </w:instrText>
      </w:r>
      <w:r>
        <w:fldChar w:fldCharType="separate"/>
      </w:r>
      <w:r>
        <w:t>9</w:t>
      </w:r>
      <w:r>
        <w:fldChar w:fldCharType="end"/>
      </w:r>
      <w:r>
        <w:rPr>
          <w:rFonts w:eastAsia="楷体"/>
          <w:bCs/>
          <w:kern w:val="0"/>
          <w:szCs w:val="32"/>
        </w:rPr>
        <w:fldChar w:fldCharType="end"/>
      </w:r>
    </w:p>
    <w:p w14:paraId="0027B540">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_Toc27720 </w:instrText>
      </w:r>
      <w:r>
        <w:rPr>
          <w:rFonts w:eastAsia="楷体"/>
          <w:bCs/>
          <w:kern w:val="0"/>
          <w:szCs w:val="32"/>
        </w:rPr>
        <w:fldChar w:fldCharType="separate"/>
      </w:r>
      <w:r>
        <w:t>（三）推广价值与落地路径</w:t>
      </w:r>
      <w:r>
        <w:tab/>
      </w:r>
      <w:r>
        <w:fldChar w:fldCharType="begin"/>
      </w:r>
      <w:r>
        <w:instrText xml:space="preserve"> PAGEREF _Toc27720 \h </w:instrText>
      </w:r>
      <w:r>
        <w:fldChar w:fldCharType="separate"/>
      </w:r>
      <w:r>
        <w:t>9</w:t>
      </w:r>
      <w:r>
        <w:fldChar w:fldCharType="end"/>
      </w:r>
      <w:r>
        <w:rPr>
          <w:rFonts w:eastAsia="楷体"/>
          <w:bCs/>
          <w:kern w:val="0"/>
          <w:szCs w:val="32"/>
        </w:rPr>
        <w:fldChar w:fldCharType="end"/>
      </w:r>
    </w:p>
    <w:p w14:paraId="642A22E0">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_Toc29940 </w:instrText>
      </w:r>
      <w:r>
        <w:rPr>
          <w:rFonts w:eastAsia="楷体"/>
          <w:bCs/>
          <w:kern w:val="0"/>
          <w:szCs w:val="32"/>
        </w:rPr>
        <w:fldChar w:fldCharType="separate"/>
      </w:r>
      <w:r>
        <w:t>五、项目实施</w:t>
      </w:r>
      <w:r>
        <w:tab/>
      </w:r>
      <w:r>
        <w:fldChar w:fldCharType="begin"/>
      </w:r>
      <w:r>
        <w:instrText xml:space="preserve"> PAGEREF _Toc29940 \h </w:instrText>
      </w:r>
      <w:r>
        <w:fldChar w:fldCharType="separate"/>
      </w:r>
      <w:r>
        <w:t>9</w:t>
      </w:r>
      <w:r>
        <w:fldChar w:fldCharType="end"/>
      </w:r>
      <w:r>
        <w:rPr>
          <w:rFonts w:eastAsia="楷体"/>
          <w:bCs/>
          <w:kern w:val="0"/>
          <w:szCs w:val="32"/>
        </w:rPr>
        <w:fldChar w:fldCharType="end"/>
      </w:r>
    </w:p>
    <w:p w14:paraId="79DA8FFE">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_Toc17671 </w:instrText>
      </w:r>
      <w:r>
        <w:rPr>
          <w:rFonts w:eastAsia="楷体"/>
          <w:bCs/>
          <w:kern w:val="0"/>
          <w:szCs w:val="32"/>
        </w:rPr>
        <w:fldChar w:fldCharType="separate"/>
      </w:r>
      <w:r>
        <w:t>（一）实施计划</w:t>
      </w:r>
      <w:r>
        <w:tab/>
      </w:r>
      <w:r>
        <w:fldChar w:fldCharType="begin"/>
      </w:r>
      <w:r>
        <w:instrText xml:space="preserve"> PAGEREF _Toc17671 \h </w:instrText>
      </w:r>
      <w:r>
        <w:fldChar w:fldCharType="separate"/>
      </w:r>
      <w:r>
        <w:t>9</w:t>
      </w:r>
      <w:r>
        <w:fldChar w:fldCharType="end"/>
      </w:r>
      <w:r>
        <w:rPr>
          <w:rFonts w:eastAsia="楷体"/>
          <w:bCs/>
          <w:kern w:val="0"/>
          <w:szCs w:val="32"/>
        </w:rPr>
        <w:fldChar w:fldCharType="end"/>
      </w:r>
    </w:p>
    <w:p w14:paraId="3FEA69C8">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_Toc14265 </w:instrText>
      </w:r>
      <w:r>
        <w:rPr>
          <w:rFonts w:eastAsia="楷体"/>
          <w:bCs/>
          <w:kern w:val="0"/>
          <w:szCs w:val="32"/>
        </w:rPr>
        <w:fldChar w:fldCharType="separate"/>
      </w:r>
      <w:r>
        <w:t>（二）资源保障</w:t>
      </w:r>
      <w:r>
        <w:tab/>
      </w:r>
      <w:r>
        <w:fldChar w:fldCharType="begin"/>
      </w:r>
      <w:r>
        <w:instrText xml:space="preserve"> PAGEREF _Toc14265 \h </w:instrText>
      </w:r>
      <w:r>
        <w:fldChar w:fldCharType="separate"/>
      </w:r>
      <w:r>
        <w:t>10</w:t>
      </w:r>
      <w:r>
        <w:fldChar w:fldCharType="end"/>
      </w:r>
      <w:r>
        <w:rPr>
          <w:rFonts w:eastAsia="楷体"/>
          <w:bCs/>
          <w:kern w:val="0"/>
          <w:szCs w:val="32"/>
        </w:rPr>
        <w:fldChar w:fldCharType="end"/>
      </w:r>
    </w:p>
    <w:p w14:paraId="596406A5">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_Toc4944 </w:instrText>
      </w:r>
      <w:r>
        <w:rPr>
          <w:rFonts w:eastAsia="楷体"/>
          <w:bCs/>
          <w:kern w:val="0"/>
          <w:szCs w:val="32"/>
        </w:rPr>
        <w:fldChar w:fldCharType="separate"/>
      </w:r>
      <w:r>
        <w:t>（三）团队协作与分工</w:t>
      </w:r>
      <w:r>
        <w:tab/>
      </w:r>
      <w:r>
        <w:fldChar w:fldCharType="begin"/>
      </w:r>
      <w:r>
        <w:instrText xml:space="preserve"> PAGEREF _Toc4944 \h </w:instrText>
      </w:r>
      <w:r>
        <w:fldChar w:fldCharType="separate"/>
      </w:r>
      <w:r>
        <w:t>10</w:t>
      </w:r>
      <w:r>
        <w:fldChar w:fldCharType="end"/>
      </w:r>
      <w:r>
        <w:rPr>
          <w:rFonts w:eastAsia="楷体"/>
          <w:bCs/>
          <w:kern w:val="0"/>
          <w:szCs w:val="32"/>
        </w:rPr>
        <w:fldChar w:fldCharType="end"/>
      </w:r>
    </w:p>
    <w:p w14:paraId="7A62A739">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_Toc4153 </w:instrText>
      </w:r>
      <w:r>
        <w:rPr>
          <w:rFonts w:eastAsia="楷体"/>
          <w:bCs/>
          <w:kern w:val="0"/>
          <w:szCs w:val="32"/>
        </w:rPr>
        <w:fldChar w:fldCharType="separate"/>
      </w:r>
      <w:r>
        <w:t>六、应用效果</w:t>
      </w:r>
      <w:r>
        <w:tab/>
      </w:r>
      <w:r>
        <w:fldChar w:fldCharType="begin"/>
      </w:r>
      <w:r>
        <w:instrText xml:space="preserve"> PAGEREF _Toc4153 \h </w:instrText>
      </w:r>
      <w:r>
        <w:fldChar w:fldCharType="separate"/>
      </w:r>
      <w:r>
        <w:t>10</w:t>
      </w:r>
      <w:r>
        <w:fldChar w:fldCharType="end"/>
      </w:r>
      <w:r>
        <w:rPr>
          <w:rFonts w:eastAsia="楷体"/>
          <w:bCs/>
          <w:kern w:val="0"/>
          <w:szCs w:val="32"/>
        </w:rPr>
        <w:fldChar w:fldCharType="end"/>
      </w:r>
    </w:p>
    <w:p w14:paraId="1EC6D60D">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_Toc10848 </w:instrText>
      </w:r>
      <w:r>
        <w:rPr>
          <w:rFonts w:eastAsia="楷体"/>
          <w:bCs/>
          <w:kern w:val="0"/>
          <w:szCs w:val="32"/>
        </w:rPr>
        <w:fldChar w:fldCharType="separate"/>
      </w:r>
      <w:r>
        <w:t>（一）应用效果预期</w:t>
      </w:r>
      <w:r>
        <w:tab/>
      </w:r>
      <w:r>
        <w:fldChar w:fldCharType="begin"/>
      </w:r>
      <w:r>
        <w:instrText xml:space="preserve"> PAGEREF _Toc10848 \h </w:instrText>
      </w:r>
      <w:r>
        <w:fldChar w:fldCharType="separate"/>
      </w:r>
      <w:r>
        <w:t>10</w:t>
      </w:r>
      <w:r>
        <w:fldChar w:fldCharType="end"/>
      </w:r>
      <w:r>
        <w:rPr>
          <w:rFonts w:eastAsia="楷体"/>
          <w:bCs/>
          <w:kern w:val="0"/>
          <w:szCs w:val="32"/>
        </w:rPr>
        <w:fldChar w:fldCharType="end"/>
      </w:r>
    </w:p>
    <w:p w14:paraId="3A5F5766">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_Toc10614 </w:instrText>
      </w:r>
      <w:r>
        <w:rPr>
          <w:rFonts w:eastAsia="楷体"/>
          <w:bCs/>
          <w:kern w:val="0"/>
          <w:szCs w:val="32"/>
        </w:rPr>
        <w:fldChar w:fldCharType="separate"/>
      </w:r>
      <w:r>
        <w:t>（二）成果展示 1：被试内对比</w:t>
      </w:r>
      <w:r>
        <w:tab/>
      </w:r>
      <w:r>
        <w:fldChar w:fldCharType="begin"/>
      </w:r>
      <w:r>
        <w:instrText xml:space="preserve"> PAGEREF _Toc10614 \h </w:instrText>
      </w:r>
      <w:r>
        <w:fldChar w:fldCharType="separate"/>
      </w:r>
      <w:r>
        <w:t>11</w:t>
      </w:r>
      <w:r>
        <w:fldChar w:fldCharType="end"/>
      </w:r>
      <w:r>
        <w:rPr>
          <w:rFonts w:eastAsia="楷体"/>
          <w:bCs/>
          <w:kern w:val="0"/>
          <w:szCs w:val="32"/>
        </w:rPr>
        <w:fldChar w:fldCharType="end"/>
      </w:r>
    </w:p>
    <w:p w14:paraId="17E17D4B">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_Toc775 </w:instrText>
      </w:r>
      <w:r>
        <w:rPr>
          <w:rFonts w:eastAsia="楷体"/>
          <w:bCs/>
          <w:kern w:val="0"/>
          <w:szCs w:val="32"/>
        </w:rPr>
        <w:fldChar w:fldCharType="separate"/>
      </w:r>
      <w:r>
        <w:t>（三）成果展示 2：消融实验</w:t>
      </w:r>
      <w:r>
        <w:tab/>
      </w:r>
      <w:r>
        <w:fldChar w:fldCharType="begin"/>
      </w:r>
      <w:r>
        <w:instrText xml:space="preserve"> PAGEREF _Toc775 \h </w:instrText>
      </w:r>
      <w:r>
        <w:fldChar w:fldCharType="separate"/>
      </w:r>
      <w:r>
        <w:t>12</w:t>
      </w:r>
      <w:r>
        <w:fldChar w:fldCharType="end"/>
      </w:r>
      <w:r>
        <w:rPr>
          <w:rFonts w:eastAsia="楷体"/>
          <w:bCs/>
          <w:kern w:val="0"/>
          <w:szCs w:val="32"/>
        </w:rPr>
        <w:fldChar w:fldCharType="end"/>
      </w:r>
    </w:p>
    <w:p w14:paraId="792A951C">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_Toc29573 </w:instrText>
      </w:r>
      <w:r>
        <w:rPr>
          <w:rFonts w:eastAsia="楷体"/>
          <w:bCs/>
          <w:kern w:val="0"/>
          <w:szCs w:val="32"/>
        </w:rPr>
        <w:fldChar w:fldCharType="separate"/>
      </w:r>
      <w:r>
        <w:t xml:space="preserve">（四）成果展示 </w:t>
      </w:r>
      <w:r>
        <w:rPr>
          <w:rFonts w:hint="default" w:ascii="Times New Roman" w:hAnsi="Times New Roman" w:cs="Times New Roman"/>
        </w:rPr>
        <w:t>3</w:t>
      </w:r>
      <w:r>
        <w:t>：跨被试免校准（</w:t>
      </w:r>
      <w:r>
        <w:rPr>
          <w:rFonts w:hint="default" w:ascii="Times New Roman" w:hAnsi="Times New Roman" w:cs="Times New Roman"/>
        </w:rPr>
        <w:t>LOSO</w:t>
      </w:r>
      <w:r>
        <w:t>）</w:t>
      </w:r>
      <w:r>
        <w:tab/>
      </w:r>
      <w:r>
        <w:fldChar w:fldCharType="begin"/>
      </w:r>
      <w:r>
        <w:instrText xml:space="preserve"> PAGEREF _Toc29573 \h </w:instrText>
      </w:r>
      <w:r>
        <w:fldChar w:fldCharType="separate"/>
      </w:r>
      <w:r>
        <w:t>13</w:t>
      </w:r>
      <w:r>
        <w:fldChar w:fldCharType="end"/>
      </w:r>
      <w:r>
        <w:rPr>
          <w:rFonts w:eastAsia="楷体"/>
          <w:bCs/>
          <w:kern w:val="0"/>
          <w:szCs w:val="32"/>
        </w:rPr>
        <w:fldChar w:fldCharType="end"/>
      </w:r>
    </w:p>
    <w:p w14:paraId="24F638EC">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_Toc25957 </w:instrText>
      </w:r>
      <w:r>
        <w:rPr>
          <w:rFonts w:eastAsia="楷体"/>
          <w:bCs/>
          <w:kern w:val="0"/>
          <w:szCs w:val="32"/>
        </w:rPr>
        <w:fldChar w:fldCharType="separate"/>
      </w:r>
      <w:r>
        <w:t>（五）可解释性：门控裁决与脑区证据</w:t>
      </w:r>
      <w:r>
        <w:tab/>
      </w:r>
      <w:r>
        <w:fldChar w:fldCharType="begin"/>
      </w:r>
      <w:r>
        <w:instrText xml:space="preserve"> PAGEREF _Toc25957 \h </w:instrText>
      </w:r>
      <w:r>
        <w:fldChar w:fldCharType="separate"/>
      </w:r>
      <w:r>
        <w:t>14</w:t>
      </w:r>
      <w:r>
        <w:fldChar w:fldCharType="end"/>
      </w:r>
      <w:r>
        <w:rPr>
          <w:rFonts w:eastAsia="楷体"/>
          <w:bCs/>
          <w:kern w:val="0"/>
          <w:szCs w:val="32"/>
        </w:rPr>
        <w:fldChar w:fldCharType="end"/>
      </w:r>
    </w:p>
    <w:p w14:paraId="23052710">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_Toc21736 </w:instrText>
      </w:r>
      <w:r>
        <w:rPr>
          <w:rFonts w:eastAsia="楷体"/>
          <w:bCs/>
          <w:kern w:val="0"/>
          <w:szCs w:val="32"/>
        </w:rPr>
        <w:fldChar w:fldCharType="separate"/>
      </w:r>
      <w:r>
        <w:t>（六）结果边界与诚实声明</w:t>
      </w:r>
      <w:r>
        <w:tab/>
      </w:r>
      <w:r>
        <w:fldChar w:fldCharType="begin"/>
      </w:r>
      <w:r>
        <w:instrText xml:space="preserve"> PAGEREF _Toc21736 \h </w:instrText>
      </w:r>
      <w:r>
        <w:fldChar w:fldCharType="separate"/>
      </w:r>
      <w:r>
        <w:t>15</w:t>
      </w:r>
      <w:r>
        <w:fldChar w:fldCharType="end"/>
      </w:r>
      <w:r>
        <w:rPr>
          <w:rFonts w:eastAsia="楷体"/>
          <w:bCs/>
          <w:kern w:val="0"/>
          <w:szCs w:val="32"/>
        </w:rPr>
        <w:fldChar w:fldCharType="end"/>
      </w:r>
    </w:p>
    <w:p w14:paraId="78E724ED">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_Toc18795 </w:instrText>
      </w:r>
      <w:r>
        <w:rPr>
          <w:rFonts w:eastAsia="楷体"/>
          <w:bCs/>
          <w:kern w:val="0"/>
          <w:szCs w:val="32"/>
        </w:rPr>
        <w:fldChar w:fldCharType="separate"/>
      </w:r>
      <w:r>
        <w:t>（七）创新点总结</w:t>
      </w:r>
      <w:r>
        <w:tab/>
      </w:r>
      <w:r>
        <w:fldChar w:fldCharType="begin"/>
      </w:r>
      <w:r>
        <w:instrText xml:space="preserve"> PAGEREF _Toc18795 \h </w:instrText>
      </w:r>
      <w:r>
        <w:fldChar w:fldCharType="separate"/>
      </w:r>
      <w:r>
        <w:t>15</w:t>
      </w:r>
      <w:r>
        <w:fldChar w:fldCharType="end"/>
      </w:r>
      <w:r>
        <w:rPr>
          <w:rFonts w:eastAsia="楷体"/>
          <w:bCs/>
          <w:kern w:val="0"/>
          <w:szCs w:val="32"/>
        </w:rPr>
        <w:fldChar w:fldCharType="end"/>
      </w:r>
    </w:p>
    <w:p w14:paraId="69ABD24B">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_Toc11123 </w:instrText>
      </w:r>
      <w:r>
        <w:rPr>
          <w:rFonts w:eastAsia="楷体"/>
          <w:bCs/>
          <w:kern w:val="0"/>
          <w:szCs w:val="32"/>
        </w:rPr>
        <w:fldChar w:fldCharType="separate"/>
      </w:r>
      <w:r>
        <w:t>1. 面向学科实验痛点的免校准解码方案</w:t>
      </w:r>
      <w:r>
        <w:tab/>
      </w:r>
      <w:r>
        <w:fldChar w:fldCharType="begin"/>
      </w:r>
      <w:r>
        <w:instrText xml:space="preserve"> PAGEREF _Toc11123 \h </w:instrText>
      </w:r>
      <w:r>
        <w:fldChar w:fldCharType="separate"/>
      </w:r>
      <w:r>
        <w:t>15</w:t>
      </w:r>
      <w:r>
        <w:fldChar w:fldCharType="end"/>
      </w:r>
      <w:r>
        <w:rPr>
          <w:rFonts w:eastAsia="楷体"/>
          <w:bCs/>
          <w:kern w:val="0"/>
          <w:szCs w:val="32"/>
        </w:rPr>
        <w:fldChar w:fldCharType="end"/>
      </w:r>
    </w:p>
    <w:p w14:paraId="4AF6F667">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_Toc27800 </w:instrText>
      </w:r>
      <w:r>
        <w:rPr>
          <w:rFonts w:eastAsia="楷体"/>
          <w:bCs/>
          <w:kern w:val="0"/>
          <w:szCs w:val="32"/>
        </w:rPr>
        <w:fldChar w:fldCharType="separate"/>
      </w:r>
      <w:r>
        <w:t>2. 模块可靠性自适应门控（MAG）</w:t>
      </w:r>
      <w:r>
        <w:tab/>
      </w:r>
      <w:r>
        <w:fldChar w:fldCharType="begin"/>
      </w:r>
      <w:r>
        <w:instrText xml:space="preserve"> PAGEREF _Toc27800 \h </w:instrText>
      </w:r>
      <w:r>
        <w:fldChar w:fldCharType="separate"/>
      </w:r>
      <w:r>
        <w:t>15</w:t>
      </w:r>
      <w:r>
        <w:fldChar w:fldCharType="end"/>
      </w:r>
      <w:r>
        <w:rPr>
          <w:rFonts w:eastAsia="楷体"/>
          <w:bCs/>
          <w:kern w:val="0"/>
          <w:szCs w:val="32"/>
        </w:rPr>
        <w:fldChar w:fldCharType="end"/>
      </w:r>
    </w:p>
    <w:p w14:paraId="470BC9F4">
      <w:pPr>
        <w:pStyle w:val="6"/>
        <w:tabs>
          <w:tab w:val="right" w:leader="dot" w:pos="8504"/>
        </w:tabs>
      </w:pPr>
      <w:r>
        <w:rPr>
          <w:rFonts w:eastAsia="楷体"/>
          <w:bCs/>
          <w:kern w:val="0"/>
          <w:szCs w:val="32"/>
        </w:rPr>
        <w:fldChar w:fldCharType="begin"/>
      </w:r>
      <w:r>
        <w:rPr>
          <w:rFonts w:eastAsia="楷体"/>
          <w:bCs/>
          <w:kern w:val="0"/>
          <w:szCs w:val="32"/>
        </w:rPr>
        <w:instrText xml:space="preserve"> HYPERLINK \l _Toc16799 </w:instrText>
      </w:r>
      <w:r>
        <w:rPr>
          <w:rFonts w:eastAsia="楷体"/>
          <w:bCs/>
          <w:kern w:val="0"/>
          <w:szCs w:val="32"/>
        </w:rPr>
        <w:fldChar w:fldCharType="separate"/>
      </w:r>
      <w:r>
        <w:t>3. 时-空-频三视角可解释融合</w:t>
      </w:r>
      <w:r>
        <w:tab/>
      </w:r>
      <w:r>
        <w:fldChar w:fldCharType="begin"/>
      </w:r>
      <w:r>
        <w:instrText xml:space="preserve"> PAGEREF _Toc16799 \h </w:instrText>
      </w:r>
      <w:r>
        <w:fldChar w:fldCharType="separate"/>
      </w:r>
      <w:r>
        <w:t>15</w:t>
      </w:r>
      <w:r>
        <w:fldChar w:fldCharType="end"/>
      </w:r>
      <w:r>
        <w:rPr>
          <w:rFonts w:eastAsia="楷体"/>
          <w:bCs/>
          <w:kern w:val="0"/>
          <w:szCs w:val="32"/>
        </w:rPr>
        <w:fldChar w:fldCharType="end"/>
      </w:r>
    </w:p>
    <w:p w14:paraId="0C0B96D6">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_Toc20117 </w:instrText>
      </w:r>
      <w:r>
        <w:rPr>
          <w:rFonts w:eastAsia="楷体"/>
          <w:bCs/>
          <w:kern w:val="0"/>
          <w:szCs w:val="32"/>
        </w:rPr>
        <w:fldChar w:fldCharType="separate"/>
      </w:r>
      <w:r>
        <w:t>七、总结与展望</w:t>
      </w:r>
      <w:r>
        <w:tab/>
      </w:r>
      <w:r>
        <w:fldChar w:fldCharType="begin"/>
      </w:r>
      <w:r>
        <w:instrText xml:space="preserve"> PAGEREF _Toc20117 \h </w:instrText>
      </w:r>
      <w:r>
        <w:fldChar w:fldCharType="separate"/>
      </w:r>
      <w:r>
        <w:t>15</w:t>
      </w:r>
      <w:r>
        <w:fldChar w:fldCharType="end"/>
      </w:r>
      <w:r>
        <w:rPr>
          <w:rFonts w:eastAsia="楷体"/>
          <w:bCs/>
          <w:kern w:val="0"/>
          <w:szCs w:val="32"/>
        </w:rPr>
        <w:fldChar w:fldCharType="end"/>
      </w:r>
    </w:p>
    <w:p w14:paraId="58701771">
      <w:pPr>
        <w:pStyle w:val="10"/>
        <w:tabs>
          <w:tab w:val="right" w:leader="dot" w:pos="8504"/>
          <w:tab w:val="clear" w:pos="8296"/>
        </w:tabs>
      </w:pPr>
      <w:r>
        <w:rPr>
          <w:rFonts w:eastAsia="楷体"/>
          <w:bCs/>
          <w:kern w:val="0"/>
          <w:szCs w:val="32"/>
        </w:rPr>
        <w:fldChar w:fldCharType="begin"/>
      </w:r>
      <w:r>
        <w:rPr>
          <w:rFonts w:eastAsia="楷体"/>
          <w:bCs/>
          <w:kern w:val="0"/>
          <w:szCs w:val="32"/>
        </w:rPr>
        <w:instrText xml:space="preserve"> HYPERLINK \l _Toc17215 </w:instrText>
      </w:r>
      <w:r>
        <w:rPr>
          <w:rFonts w:eastAsia="楷体"/>
          <w:bCs/>
          <w:kern w:val="0"/>
          <w:szCs w:val="32"/>
        </w:rPr>
        <w:fldChar w:fldCharType="separate"/>
      </w:r>
      <w:r>
        <w:t>八、附录</w:t>
      </w:r>
      <w:r>
        <w:tab/>
      </w:r>
      <w:r>
        <w:fldChar w:fldCharType="begin"/>
      </w:r>
      <w:r>
        <w:instrText xml:space="preserve"> PAGEREF _Toc17215 \h </w:instrText>
      </w:r>
      <w:r>
        <w:fldChar w:fldCharType="separate"/>
      </w:r>
      <w:r>
        <w:t>16</w:t>
      </w:r>
      <w:r>
        <w:fldChar w:fldCharType="end"/>
      </w:r>
      <w:r>
        <w:rPr>
          <w:rFonts w:eastAsia="楷体"/>
          <w:bCs/>
          <w:kern w:val="0"/>
          <w:szCs w:val="32"/>
        </w:rPr>
        <w:fldChar w:fldCharType="end"/>
      </w:r>
    </w:p>
    <w:p w14:paraId="157486D4">
      <w:pPr>
        <w:pStyle w:val="12"/>
        <w:tabs>
          <w:tab w:val="right" w:leader="dot" w:pos="8504"/>
          <w:tab w:val="clear" w:pos="7927"/>
        </w:tabs>
      </w:pPr>
      <w:r>
        <w:rPr>
          <w:rFonts w:eastAsia="楷体"/>
          <w:bCs/>
          <w:kern w:val="0"/>
          <w:szCs w:val="32"/>
        </w:rPr>
        <w:fldChar w:fldCharType="begin"/>
      </w:r>
      <w:r>
        <w:rPr>
          <w:rFonts w:eastAsia="楷体"/>
          <w:bCs/>
          <w:kern w:val="0"/>
          <w:szCs w:val="32"/>
        </w:rPr>
        <w:instrText xml:space="preserve"> HYPERLINK \l _Toc5008 </w:instrText>
      </w:r>
      <w:r>
        <w:rPr>
          <w:rFonts w:eastAsia="楷体"/>
          <w:bCs/>
          <w:kern w:val="0"/>
          <w:szCs w:val="32"/>
        </w:rPr>
        <w:fldChar w:fldCharType="separate"/>
      </w:r>
      <w:r>
        <w:t>（</w:t>
      </w:r>
      <w:r>
        <w:rPr>
          <w:rFonts w:hint="eastAsia"/>
        </w:rPr>
        <w:t>一</w:t>
      </w:r>
      <w:r>
        <w:t>）参考文献</w:t>
      </w:r>
      <w:r>
        <w:tab/>
      </w:r>
      <w:r>
        <w:fldChar w:fldCharType="begin"/>
      </w:r>
      <w:r>
        <w:instrText xml:space="preserve"> PAGEREF _Toc5008 \h </w:instrText>
      </w:r>
      <w:r>
        <w:fldChar w:fldCharType="separate"/>
      </w:r>
      <w:r>
        <w:t>16</w:t>
      </w:r>
      <w:r>
        <w:fldChar w:fldCharType="end"/>
      </w:r>
      <w:r>
        <w:rPr>
          <w:rFonts w:eastAsia="楷体"/>
          <w:bCs/>
          <w:kern w:val="0"/>
          <w:szCs w:val="32"/>
        </w:rPr>
        <w:fldChar w:fldCharType="end"/>
      </w:r>
    </w:p>
    <w:p w14:paraId="701DAB9D">
      <w:pPr>
        <w:pStyle w:val="10"/>
        <w:spacing w:line="400" w:lineRule="exact"/>
        <w:rPr>
          <w:rFonts w:eastAsia="楷体"/>
          <w:bCs/>
          <w:kern w:val="0"/>
          <w:sz w:val="32"/>
          <w:szCs w:val="32"/>
        </w:rPr>
      </w:pPr>
      <w:r>
        <w:rPr>
          <w:rFonts w:eastAsia="楷体"/>
          <w:bCs/>
          <w:kern w:val="0"/>
          <w:szCs w:val="32"/>
        </w:rPr>
        <w:fldChar w:fldCharType="end"/>
      </w:r>
      <w:bookmarkStart w:id="1" w:name="_Toc17032"/>
    </w:p>
    <w:p w14:paraId="4B3FE791">
      <w:pPr>
        <w:rPr>
          <w:rFonts w:eastAsia="楷体"/>
          <w:bCs/>
          <w:kern w:val="0"/>
          <w:sz w:val="32"/>
          <w:szCs w:val="32"/>
        </w:rPr>
      </w:pPr>
    </w:p>
    <w:p w14:paraId="6DA37399">
      <w:pPr>
        <w:rPr>
          <w:rFonts w:eastAsia="楷体"/>
          <w:bCs/>
          <w:kern w:val="0"/>
          <w:sz w:val="32"/>
          <w:szCs w:val="32"/>
        </w:rPr>
      </w:pPr>
    </w:p>
    <w:p w14:paraId="3296B130">
      <w:pPr>
        <w:rPr>
          <w:rFonts w:eastAsia="楷体"/>
          <w:bCs/>
          <w:kern w:val="0"/>
          <w:sz w:val="32"/>
          <w:szCs w:val="32"/>
        </w:rPr>
      </w:pPr>
    </w:p>
    <w:p w14:paraId="5A185AF9">
      <w:pPr>
        <w:rPr>
          <w:rFonts w:eastAsia="楷体"/>
          <w:bCs/>
          <w:kern w:val="0"/>
          <w:sz w:val="32"/>
          <w:szCs w:val="32"/>
        </w:rPr>
        <w:sectPr>
          <w:footerReference r:id="rId11" w:type="default"/>
          <w:pgSz w:w="11906" w:h="16838"/>
          <w:pgMar w:top="1417" w:right="1701" w:bottom="1417" w:left="1701" w:header="850" w:footer="992" w:gutter="0"/>
          <w:pgNumType w:start="1"/>
          <w:cols w:space="720" w:num="1"/>
          <w:docGrid w:type="lines" w:linePitch="333" w:charSpace="0"/>
        </w:sectPr>
      </w:pPr>
    </w:p>
    <w:p w14:paraId="7366E8CE">
      <w:pPr>
        <w:pStyle w:val="14"/>
        <w:ind w:firstLine="883"/>
      </w:pPr>
      <w:bookmarkStart w:id="2" w:name="_Toc29644"/>
      <w:r>
        <w:rPr>
          <w:rFonts w:hint="eastAsia"/>
        </w:rPr>
        <w:t>作品简介</w:t>
      </w:r>
      <w:bookmarkEnd w:id="2"/>
    </w:p>
    <w:p w14:paraId="06D4064E">
      <w:pPr>
        <w:spacing w:line="240" w:lineRule="auto"/>
        <w:ind w:firstLine="480"/>
      </w:pPr>
      <w:r>
        <w:t>运动想象脑电解码是神经工程学科实验的核心环节，受限于标注样本少、新用户校准耗时长。本作品提出时空频自适应网络，以多尺度时间卷积、深度空间卷积与频域分支并行建模，首创零初始化模块可靠性门控 MAG，由数据梯度裁决各模块强度；结合无标签欧氏对齐与梯度反转对抗构建新用户免校准推理流程。在公开基准 BCI IV-2a 九被试两场次 3888 试验上，五种子被试内准确率 66.02%，较 EEGNet 提升 2.76 个百分点；消融证实空间卷积为核心模块（移除降 17.7 个百分点），并完成留一被试对照验证。模型仅 1.3 万参数、CPU 毫秒级推理，可支撑神经工程实训与康复机械臂意念控制研究。</w:t>
      </w:r>
    </w:p>
    <w:p w14:paraId="0F02835B">
      <w:pPr>
        <w:ind w:firstLine="420"/>
        <w:jc w:val="center"/>
      </w:pPr>
      <w:r>
        <w:rPr>
          <w:rFonts w:hint="eastAsia" w:eastAsia="宋体"/>
          <w:sz w:val="24"/>
          <w:lang w:eastAsia="zh-CN"/>
        </w:rPr>
        <w:pict>
          <v:shape id="_x0000_i1027" o:spt="75" alt="Codex 图像 2026年9月21日 22_16_14" type="#_x0000_t75" style="height:388.5pt;width:425.1pt;" filled="f" o:preferrelative="t" stroked="f" coordsize="21600,21600">
            <v:path/>
            <v:fill on="f" focussize="0,0"/>
            <v:stroke on="f"/>
            <v:imagedata r:id="rId14" o:title="Codex 图像 2026年9月21日 22_16_14"/>
            <o:lock v:ext="edit" aspectratio="t"/>
            <w10:wrap type="none"/>
            <w10:anchorlock/>
          </v:shape>
        </w:pict>
      </w:r>
    </w:p>
    <w:p w14:paraId="4C6931AF">
      <w:pPr>
        <w:pStyle w:val="2"/>
        <w:ind w:firstLine="482"/>
        <w:rPr>
          <w:sz w:val="24"/>
        </w:rPr>
      </w:pPr>
    </w:p>
    <w:p w14:paraId="637C44BE">
      <w:pPr>
        <w:pStyle w:val="2"/>
        <w:ind w:firstLine="482"/>
        <w:rPr>
          <w:sz w:val="24"/>
        </w:rPr>
      </w:pPr>
    </w:p>
    <w:p w14:paraId="6DD1B6E2">
      <w:pPr>
        <w:pStyle w:val="2"/>
        <w:ind w:firstLine="482"/>
        <w:rPr>
          <w:sz w:val="24"/>
        </w:rPr>
      </w:pPr>
    </w:p>
    <w:p w14:paraId="192E5213"/>
    <w:p w14:paraId="6E75E331">
      <w:pPr>
        <w:pStyle w:val="2"/>
        <w:bidi w:val="0"/>
      </w:pPr>
      <w:bookmarkStart w:id="3" w:name="_Toc7371"/>
      <w:bookmarkStart w:id="4" w:name="_Toc21211"/>
      <w:r>
        <w:t>一、项目概述</w:t>
      </w:r>
      <w:bookmarkEnd w:id="3"/>
      <w:bookmarkEnd w:id="4"/>
    </w:p>
    <w:p w14:paraId="3B99C44A">
      <w:pPr>
        <w:pStyle w:val="3"/>
        <w:bidi w:val="0"/>
      </w:pPr>
      <w:bookmarkStart w:id="5" w:name="_Toc22139"/>
      <w:bookmarkStart w:id="6" w:name="_Toc15672"/>
      <w:r>
        <w:t>（一）项目背景与意义</w:t>
      </w:r>
      <w:bookmarkEnd w:id="5"/>
      <w:bookmarkEnd w:id="6"/>
    </w:p>
    <w:p w14:paraId="150C1D88">
      <w:pPr>
        <w:spacing w:line="240" w:lineRule="auto"/>
        <w:ind w:firstLine="480"/>
      </w:pPr>
      <w:r>
        <w:t>脑机接口（Brain-Computer Interface, BCI）在不依赖外周神经与肌肉的前提下建立大脑与外部设备的直接信息通路，是生物医学工程学科中神经工程方向的标志性研究领域。基于脑电图（EEG）的非侵入式 BCI 安全、低成本、便携；其中运动想象（Motor Imagery, MI）范式要求用户在不产生实际动作的情况下想象肢体运动，会诱发感觉运动皮层 μ 节律（8–12 Hz）与 β 节律（13–30 Hz）的事件相关去同步/同步（ERD/ERS）</w:t>
      </w:r>
      <w:r>
        <w:rPr>
          <w:vertAlign w:val="superscript"/>
        </w:rPr>
        <w:t>[1]</w:t>
      </w:r>
      <w:r>
        <w:t>，既可用作控制外部设备的意图信号，也是神经科学研究感觉运动功能的重要观测窗口。</w:t>
      </w:r>
    </w:p>
    <w:p w14:paraId="0CD5AB4C">
      <w:pPr>
        <w:spacing w:line="240" w:lineRule="auto"/>
        <w:ind w:firstLine="480"/>
      </w:pPr>
      <w:r>
        <w:t>从学科建设角度看，MI-EEG 解码是神经工程、康复工程课程实验与科研工作中的核心实验环节，但该环节长期面临两大痛点：其一，标注样本稀缺，一次规范采集每名被试仅数百个试验，深度模型极易过拟合，导致科研中“采数—调参—换被试重来”的循环冗长；其二，跨被试分布漂移严重，受颅骨厚度、电极阻抗与脑形态影响，现有设备要求每位新用户先进行 20–30 分钟个体校准，占用了康复训练与实验实训的有效时间，患者与学生依从性差。研究小样本、免校准、可解释的高可靠脑电解码方法，对提升神经工程科研效率与康复实验实训质量具有明确的学科价值。</w:t>
      </w:r>
    </w:p>
    <w:p w14:paraId="7C19419F">
      <w:pPr>
        <w:spacing w:line="240" w:lineRule="auto"/>
        <w:ind w:firstLine="480"/>
      </w:pPr>
      <w:r>
        <w:t>本作品面向学科内两类核心环节：①科研探索——为脑机接口解码研究提供小样本、可复现、可解释的算法工具链；②康复工程应用与实训——将左手、右手、双脚三类运动想象映射为辅助机械臂左移、右移、抓取三个自由度，服务上肢运动障碍人群（渐冻症、高位截瘫、重度脑卒中后遗症）的生活辅助，并可作为高校神经工程实验实训的教学平台。</w:t>
      </w:r>
    </w:p>
    <w:p w14:paraId="6FF767BF">
      <w:pPr>
        <w:pStyle w:val="3"/>
        <w:bidi w:val="0"/>
      </w:pPr>
      <w:bookmarkStart w:id="7" w:name="_Toc7188"/>
      <w:bookmarkStart w:id="8" w:name="_Toc17360"/>
      <w:r>
        <w:t>（二）核心目标与赛题定位</w:t>
      </w:r>
      <w:bookmarkEnd w:id="7"/>
      <w:bookmarkEnd w:id="8"/>
    </w:p>
    <w:p w14:paraId="0153F550">
      <w:pPr>
        <w:spacing w:line="240" w:lineRule="auto"/>
        <w:ind w:firstLine="480"/>
      </w:pPr>
      <w:r>
        <w:t>本作品申报“AI+学科交叉”赛题，学科领域明确界定为生物医学工程（神经工程与康复工程交叉方向），赋能环节为该学科的科研探索与实验实训。核心目标有三：①在数百试验级小样本条件下提升三类运动想象解码精度；②实现新用户无标签免校准（即插即用），压缩学科实验与康复训练前的标定时间；③保持模型轻量、可解释、可复现，便于在同类院校实验室与康复科低成本复用。技术路线以国际公开基准为验证平台，不绑定特定采集硬件与执行机构，算法可移植至任意 22 导联及以上 EEG 设备。</w:t>
      </w:r>
    </w:p>
    <w:p w14:paraId="0CF6B956">
      <w:pPr>
        <w:pStyle w:val="2"/>
        <w:bidi w:val="0"/>
      </w:pPr>
      <w:bookmarkStart w:id="9" w:name="_Toc315"/>
      <w:bookmarkStart w:id="10" w:name="_Toc4584"/>
      <w:r>
        <w:t>二、需求分析</w:t>
      </w:r>
      <w:bookmarkEnd w:id="9"/>
      <w:bookmarkEnd w:id="10"/>
    </w:p>
    <w:p w14:paraId="7030BF5A">
      <w:pPr>
        <w:pStyle w:val="3"/>
        <w:bidi w:val="0"/>
      </w:pPr>
      <w:bookmarkStart w:id="11" w:name="_Toc17958"/>
      <w:bookmarkStart w:id="12" w:name="_Toc10544"/>
      <w:r>
        <w:t>（一）学科专业界定</w:t>
      </w:r>
      <w:bookmarkEnd w:id="11"/>
      <w:bookmarkEnd w:id="12"/>
    </w:p>
    <w:p w14:paraId="1929E45C">
      <w:pPr>
        <w:spacing w:line="240" w:lineRule="auto"/>
        <w:ind w:firstLine="480"/>
      </w:pPr>
      <w:r>
        <w:t>具体学科领域：生物医学工程一级学科下的神经工程与康复工程方向，关联神经科学、信号处理与人工智能。对应核心环节包括：理论研究（感觉运动皮层 ERD/ERS 机理观测）、科研探索（MI-EEG 解码算法实验）、实验实训（本科生/研究生脑机接口课程实验、康复工程实训）以及临床康复工程转化（上肢康复机械臂的意图触发）。本作品聚焦其中的“脑电解码实验”这一卡脖子环节提供 AI 方法。</w:t>
      </w:r>
    </w:p>
    <w:p w14:paraId="772A54A4">
      <w:pPr>
        <w:pStyle w:val="3"/>
        <w:bidi w:val="0"/>
      </w:pPr>
      <w:bookmarkStart w:id="13" w:name="_Toc10521"/>
      <w:bookmarkStart w:id="14" w:name="_Toc6066"/>
      <w:r>
        <w:t>（二）核心痛点梳理</w:t>
      </w:r>
      <w:bookmarkEnd w:id="13"/>
      <w:bookmarkEnd w:id="14"/>
    </w:p>
    <w:p w14:paraId="2DFE12C3">
      <w:pPr>
        <w:spacing w:line="240" w:lineRule="auto"/>
        <w:ind w:firstLine="480"/>
      </w:pPr>
      <w:r>
        <w:t>结合学科实验流程与公开文献，当前环节存在四个具体痛点：</w:t>
      </w:r>
    </w:p>
    <w:p w14:paraId="07228DFF">
      <w:pPr>
        <w:spacing w:line="240" w:lineRule="auto"/>
        <w:ind w:firstLine="480"/>
      </w:pPr>
      <w:r>
        <w:t>①标定样本稀缺：规范范式下每名被试两场次仅数百个有效试验，传统深度网络参数稍多即过拟合，科研迭代慢、学生实验难以在课时内得到可用模型；</w:t>
      </w:r>
    </w:p>
    <w:p w14:paraId="53AE2A3B">
      <w:pPr>
        <w:spacing w:line="240" w:lineRule="auto"/>
        <w:ind w:firstLine="480"/>
      </w:pPr>
      <w:r>
        <w:t>②跨被试漂移：不同个体脑电空间分布差异大，传统 CSP/LDA 与常规深度模型都需 20–30 分钟有监督标定，康复训练黄金时间被校准占用，“换一个人就失效”使实验实训难以标准化开展；</w:t>
      </w:r>
    </w:p>
    <w:p w14:paraId="5B96F4EB">
      <w:pPr>
        <w:spacing w:line="240" w:lineRule="auto"/>
        <w:ind w:firstLine="480"/>
      </w:pPr>
      <w:r>
        <w:t>③机理可信度不足：黑箱模型无法回答“依据哪个脑区、哪段节律做的决策”，难以与神经科学先验互证，不适合科研结论撰写与课堂示教；</w:t>
      </w:r>
    </w:p>
    <w:p w14:paraId="493ED342">
      <w:pPr>
        <w:spacing w:line="240" w:lineRule="auto"/>
        <w:ind w:firstLine="480"/>
      </w:pPr>
      <w:r>
        <w:t>④复用门槛高：商业 BCI 方案绑定硬件、许可昂贵，同类学科院校难以低成本复刻实验环境。</w:t>
      </w:r>
    </w:p>
    <w:p w14:paraId="0A3B566F">
      <w:pPr>
        <w:pStyle w:val="3"/>
        <w:bidi w:val="0"/>
      </w:pPr>
      <w:bookmarkStart w:id="15" w:name="_Toc14541"/>
      <w:bookmarkStart w:id="16" w:name="_Toc2516"/>
      <w:r>
        <w:t>（三）</w:t>
      </w:r>
      <w:r>
        <w:rPr>
          <w:rFonts w:hint="default" w:ascii="Times New Roman" w:hAnsi="Times New Roman" w:cs="Times New Roman"/>
        </w:rPr>
        <w:t>AI</w:t>
      </w:r>
      <w:r>
        <w:t xml:space="preserve"> 赋能需求与切入点</w:t>
      </w:r>
      <w:bookmarkEnd w:id="15"/>
      <w:bookmarkEnd w:id="16"/>
    </w:p>
    <w:p w14:paraId="216F906E">
      <w:pPr>
        <w:spacing w:line="240" w:lineRule="auto"/>
        <w:ind w:firstLine="480"/>
      </w:pPr>
      <w:r>
        <w:t>针对上述痛点，AI 技术的赋能切入点与学科需求严格对应，避免技术与场景脱节：</w:t>
      </w:r>
    </w:p>
    <w:p w14:paraId="500496F7">
      <w:pPr>
        <w:ind w:firstLine="422"/>
        <w:jc w:val="center"/>
      </w:pPr>
      <w:r>
        <w:rPr>
          <w:rFonts w:eastAsia="黑体"/>
          <w:b/>
          <w:sz w:val="21"/>
        </w:rPr>
        <w:t>表 1  学科需求—AI 技术—模型模块对应关系</w:t>
      </w:r>
    </w:p>
    <w:tbl>
      <w:tblPr>
        <w:tblStyle w:val="15"/>
        <w:tblW w:w="0" w:type="auto"/>
        <w:jc w:val="center"/>
        <w:tblLayout w:type="autofit"/>
        <w:tblCellMar>
          <w:top w:w="0" w:type="dxa"/>
          <w:left w:w="108" w:type="dxa"/>
          <w:bottom w:w="0" w:type="dxa"/>
          <w:right w:w="108" w:type="dxa"/>
        </w:tblCellMar>
      </w:tblPr>
      <w:tblGrid>
        <w:gridCol w:w="2835"/>
        <w:gridCol w:w="2835"/>
        <w:gridCol w:w="2835"/>
      </w:tblGrid>
      <w:tr w14:paraId="0A8E9302">
        <w:tblPrEx>
          <w:tblCellMar>
            <w:top w:w="0" w:type="dxa"/>
            <w:left w:w="108" w:type="dxa"/>
            <w:bottom w:w="0" w:type="dxa"/>
            <w:right w:w="108" w:type="dxa"/>
          </w:tblCellMar>
        </w:tblPrEx>
        <w:trPr>
          <w:jc w:val="center"/>
        </w:trPr>
        <w:tc>
          <w:tcPr>
            <w:tcW w:w="2835" w:type="dxa"/>
            <w:shd w:val="clear" w:color="auto" w:fill="D9E2F3"/>
          </w:tcPr>
          <w:p w14:paraId="5B2054C0">
            <w:pPr>
              <w:ind w:firstLine="422"/>
              <w:jc w:val="center"/>
            </w:pPr>
            <w:r>
              <w:rPr>
                <w:rFonts w:eastAsia="黑体"/>
                <w:b/>
                <w:sz w:val="21"/>
              </w:rPr>
              <w:t>学科痛点</w:t>
            </w:r>
          </w:p>
        </w:tc>
        <w:tc>
          <w:tcPr>
            <w:tcW w:w="2835" w:type="dxa"/>
            <w:shd w:val="clear" w:color="auto" w:fill="D9E2F3"/>
          </w:tcPr>
          <w:p w14:paraId="02602D7C">
            <w:pPr>
              <w:ind w:firstLine="422"/>
              <w:jc w:val="center"/>
            </w:pPr>
            <w:r>
              <w:rPr>
                <w:rFonts w:eastAsia="黑体"/>
                <w:b/>
                <w:sz w:val="21"/>
              </w:rPr>
              <w:t>AI 技术切入点</w:t>
            </w:r>
          </w:p>
        </w:tc>
        <w:tc>
          <w:tcPr>
            <w:tcW w:w="2835" w:type="dxa"/>
            <w:shd w:val="clear" w:color="auto" w:fill="D9E2F3"/>
          </w:tcPr>
          <w:p w14:paraId="3EBD9875">
            <w:pPr>
              <w:ind w:firstLine="422"/>
              <w:jc w:val="center"/>
            </w:pPr>
            <w:r>
              <w:rPr>
                <w:rFonts w:eastAsia="黑体"/>
                <w:b/>
                <w:sz w:val="21"/>
              </w:rPr>
              <w:t>本作品对应模块</w:t>
            </w:r>
          </w:p>
        </w:tc>
      </w:tr>
      <w:tr w14:paraId="40CB74A1">
        <w:tblPrEx>
          <w:tblCellMar>
            <w:top w:w="0" w:type="dxa"/>
            <w:left w:w="108" w:type="dxa"/>
            <w:bottom w:w="0" w:type="dxa"/>
            <w:right w:w="108" w:type="dxa"/>
          </w:tblCellMar>
        </w:tblPrEx>
        <w:trPr>
          <w:jc w:val="center"/>
        </w:trPr>
        <w:tc>
          <w:tcPr>
            <w:tcW w:w="2835" w:type="dxa"/>
          </w:tcPr>
          <w:p w14:paraId="1AAA5752">
            <w:pPr>
              <w:ind w:firstLine="400"/>
              <w:jc w:val="center"/>
            </w:pPr>
            <w:r>
              <w:rPr>
                <w:sz w:val="20"/>
              </w:rPr>
              <w:t>标定样本稀缺、易过拟合</w:t>
            </w:r>
          </w:p>
        </w:tc>
        <w:tc>
          <w:tcPr>
            <w:tcW w:w="2835" w:type="dxa"/>
          </w:tcPr>
          <w:p w14:paraId="13E4A2FC">
            <w:pPr>
              <w:ind w:firstLine="400"/>
              <w:jc w:val="center"/>
            </w:pPr>
            <w:r>
              <w:rPr>
                <w:sz w:val="20"/>
              </w:rPr>
              <w:t>轻量深度网络 + 多尺度时序/频域表征 + 强正则</w:t>
            </w:r>
          </w:p>
        </w:tc>
        <w:tc>
          <w:tcPr>
            <w:tcW w:w="2835" w:type="dxa"/>
          </w:tcPr>
          <w:p w14:paraId="454D47E2">
            <w:pPr>
              <w:ind w:firstLine="400"/>
              <w:jc w:val="center"/>
            </w:pPr>
            <w:r>
              <w:rPr>
                <w:sz w:val="20"/>
              </w:rPr>
              <w:t>13.4k 参数 STFA-Net、多尺度卷积、STFT 分支</w:t>
            </w:r>
          </w:p>
        </w:tc>
      </w:tr>
      <w:tr w14:paraId="64C87CF9">
        <w:tblPrEx>
          <w:tblCellMar>
            <w:top w:w="0" w:type="dxa"/>
            <w:left w:w="108" w:type="dxa"/>
            <w:bottom w:w="0" w:type="dxa"/>
            <w:right w:w="108" w:type="dxa"/>
          </w:tblCellMar>
        </w:tblPrEx>
        <w:trPr>
          <w:jc w:val="center"/>
        </w:trPr>
        <w:tc>
          <w:tcPr>
            <w:tcW w:w="2835" w:type="dxa"/>
          </w:tcPr>
          <w:p w14:paraId="584621EC">
            <w:pPr>
              <w:ind w:firstLine="400"/>
              <w:jc w:val="center"/>
            </w:pPr>
            <w:r>
              <w:rPr>
                <w:sz w:val="20"/>
              </w:rPr>
              <w:t>跨被试漂移、20–30 分钟校准</w:t>
            </w:r>
          </w:p>
        </w:tc>
        <w:tc>
          <w:tcPr>
            <w:tcW w:w="2835" w:type="dxa"/>
          </w:tcPr>
          <w:p w14:paraId="159047FC">
            <w:pPr>
              <w:ind w:firstLine="400"/>
              <w:jc w:val="center"/>
            </w:pPr>
            <w:r>
              <w:rPr>
                <w:sz w:val="20"/>
              </w:rPr>
              <w:t>无标签分布对齐 + 域对抗学习</w:t>
            </w:r>
          </w:p>
        </w:tc>
        <w:tc>
          <w:tcPr>
            <w:tcW w:w="2835" w:type="dxa"/>
          </w:tcPr>
          <w:p w14:paraId="5B263B94">
            <w:pPr>
              <w:ind w:firstLine="400"/>
              <w:jc w:val="center"/>
            </w:pPr>
            <w:r>
              <w:rPr>
                <w:sz w:val="20"/>
              </w:rPr>
              <w:t>欧氏对齐 EA + 梯度反转 GRL</w:t>
            </w:r>
          </w:p>
        </w:tc>
      </w:tr>
      <w:tr w14:paraId="6C02C258">
        <w:tblPrEx>
          <w:tblCellMar>
            <w:top w:w="0" w:type="dxa"/>
            <w:left w:w="108" w:type="dxa"/>
            <w:bottom w:w="0" w:type="dxa"/>
            <w:right w:w="108" w:type="dxa"/>
          </w:tblCellMar>
        </w:tblPrEx>
        <w:trPr>
          <w:jc w:val="center"/>
        </w:trPr>
        <w:tc>
          <w:tcPr>
            <w:tcW w:w="2835" w:type="dxa"/>
          </w:tcPr>
          <w:p w14:paraId="7A6F3EFC">
            <w:pPr>
              <w:ind w:firstLine="400"/>
              <w:jc w:val="center"/>
            </w:pPr>
            <w:r>
              <w:rPr>
                <w:sz w:val="20"/>
              </w:rPr>
              <w:t>黑箱决策、难与神经科学互证</w:t>
            </w:r>
          </w:p>
        </w:tc>
        <w:tc>
          <w:tcPr>
            <w:tcW w:w="2835" w:type="dxa"/>
          </w:tcPr>
          <w:p w14:paraId="18D04448">
            <w:pPr>
              <w:ind w:firstLine="400"/>
              <w:jc w:val="center"/>
            </w:pPr>
            <w:r>
              <w:rPr>
                <w:sz w:val="20"/>
              </w:rPr>
              <w:t>空间注意力可视化 + 门控强度可导出</w:t>
            </w:r>
          </w:p>
        </w:tc>
        <w:tc>
          <w:tcPr>
            <w:tcW w:w="2835" w:type="dxa"/>
          </w:tcPr>
          <w:p w14:paraId="08D84604">
            <w:pPr>
              <w:ind w:firstLine="400"/>
              <w:jc w:val="center"/>
            </w:pPr>
            <w:r>
              <w:rPr>
                <w:sz w:val="20"/>
              </w:rPr>
              <w:t>通道权重头皮地形图、MAG 的 α 值</w:t>
            </w:r>
          </w:p>
        </w:tc>
      </w:tr>
      <w:tr w14:paraId="0AFE606D">
        <w:tblPrEx>
          <w:tblCellMar>
            <w:top w:w="0" w:type="dxa"/>
            <w:left w:w="108" w:type="dxa"/>
            <w:bottom w:w="0" w:type="dxa"/>
            <w:right w:w="108" w:type="dxa"/>
          </w:tblCellMar>
        </w:tblPrEx>
        <w:trPr>
          <w:jc w:val="center"/>
        </w:trPr>
        <w:tc>
          <w:tcPr>
            <w:tcW w:w="2835" w:type="dxa"/>
          </w:tcPr>
          <w:p w14:paraId="40E6A154">
            <w:pPr>
              <w:ind w:firstLine="400"/>
              <w:jc w:val="center"/>
            </w:pPr>
            <w:r>
              <w:rPr>
                <w:sz w:val="20"/>
              </w:rPr>
              <w:t>模块堆叠收益不确定</w:t>
            </w:r>
          </w:p>
        </w:tc>
        <w:tc>
          <w:tcPr>
            <w:tcW w:w="2835" w:type="dxa"/>
          </w:tcPr>
          <w:p w14:paraId="6AC7FAFD">
            <w:pPr>
              <w:ind w:firstLine="400"/>
              <w:jc w:val="center"/>
            </w:pPr>
            <w:r>
              <w:rPr>
                <w:sz w:val="20"/>
              </w:rPr>
              <w:t>自适应门控由数据裁决模块贡献</w:t>
            </w:r>
          </w:p>
        </w:tc>
        <w:tc>
          <w:tcPr>
            <w:tcW w:w="2835" w:type="dxa"/>
          </w:tcPr>
          <w:p w14:paraId="14F4B632">
            <w:pPr>
              <w:ind w:firstLine="400"/>
              <w:jc w:val="center"/>
            </w:pPr>
            <w:r>
              <w:rPr>
                <w:sz w:val="20"/>
              </w:rPr>
              <w:t>零初始化残差门控 MAG</w:t>
            </w:r>
          </w:p>
        </w:tc>
      </w:tr>
      <w:tr w14:paraId="5F3AC23E">
        <w:tblPrEx>
          <w:tblCellMar>
            <w:top w:w="0" w:type="dxa"/>
            <w:left w:w="108" w:type="dxa"/>
            <w:bottom w:w="0" w:type="dxa"/>
            <w:right w:w="108" w:type="dxa"/>
          </w:tblCellMar>
        </w:tblPrEx>
        <w:trPr>
          <w:jc w:val="center"/>
        </w:trPr>
        <w:tc>
          <w:tcPr>
            <w:tcW w:w="2835" w:type="dxa"/>
          </w:tcPr>
          <w:p w14:paraId="5BC5FB48">
            <w:pPr>
              <w:ind w:firstLine="400"/>
              <w:jc w:val="center"/>
            </w:pPr>
            <w:r>
              <w:rPr>
                <w:sz w:val="20"/>
              </w:rPr>
              <w:t>复用门槛高</w:t>
            </w:r>
          </w:p>
        </w:tc>
        <w:tc>
          <w:tcPr>
            <w:tcW w:w="2835" w:type="dxa"/>
          </w:tcPr>
          <w:p w14:paraId="5545D026">
            <w:pPr>
              <w:ind w:firstLine="400"/>
              <w:jc w:val="center"/>
            </w:pPr>
            <w:r>
              <w:rPr>
                <w:sz w:val="20"/>
              </w:rPr>
              <w:t>硬件解耦 + CPU 实时推理 + 一键复现</w:t>
            </w:r>
          </w:p>
        </w:tc>
        <w:tc>
          <w:tcPr>
            <w:tcW w:w="2835" w:type="dxa"/>
          </w:tcPr>
          <w:p w14:paraId="724F1738">
            <w:pPr>
              <w:ind w:firstLine="400"/>
              <w:jc w:val="center"/>
            </w:pPr>
            <w:r>
              <w:rPr>
                <w:sz w:val="20"/>
              </w:rPr>
              <w:t>全开源栈、CPU 毫秒级推理</w:t>
            </w:r>
          </w:p>
        </w:tc>
      </w:tr>
    </w:tbl>
    <w:p w14:paraId="6C3AAAF3">
      <w:pPr>
        <w:spacing w:after="0"/>
        <w:ind w:firstLine="480"/>
      </w:pPr>
    </w:p>
    <w:p w14:paraId="21BD11BC">
      <w:pPr>
        <w:pStyle w:val="2"/>
        <w:bidi w:val="0"/>
      </w:pPr>
      <w:bookmarkStart w:id="17" w:name="_Toc31063"/>
      <w:bookmarkStart w:id="18" w:name="_Toc26636"/>
      <w:r>
        <w:t>三、解决方案设计</w:t>
      </w:r>
      <w:bookmarkEnd w:id="17"/>
      <w:bookmarkEnd w:id="18"/>
    </w:p>
    <w:p w14:paraId="6D5E0AAC">
      <w:pPr>
        <w:pStyle w:val="3"/>
        <w:bidi w:val="0"/>
      </w:pPr>
      <w:bookmarkStart w:id="19" w:name="_Toc20220"/>
      <w:bookmarkStart w:id="20" w:name="_Toc13495"/>
      <w:r>
        <w:t>（一）系统总体架构</w:t>
      </w:r>
      <w:bookmarkEnd w:id="19"/>
      <w:bookmarkEnd w:id="20"/>
    </w:p>
    <w:p w14:paraId="4BCC5D39">
      <w:pPr>
        <w:spacing w:line="240" w:lineRule="auto"/>
        <w:ind w:firstLine="480"/>
        <w:jc w:val="left"/>
      </w:pPr>
      <w:r>
        <w:t>系统按数据层、算法层、应用层与展示层四层组织（图 1）。数据层为 22 导联 EEG 采集与预处理；算法层为无标签欧氏对齐与 STFA-Net 解码（本作品贡献所在）；应用层完成三类意图到机械臂指令的映射与闭环控制；展示层面向科研/实训提供脑区权重、置信度与门控强度等可视化。采集端与执行端均为成熟技术，本作品贡献集中于算法层及其学科适配。</w:t>
      </w:r>
    </w:p>
    <w:p w14:paraId="7A212D8B">
      <w:pPr>
        <w:spacing w:after="0"/>
        <w:ind w:firstLine="480"/>
        <w:jc w:val="center"/>
      </w:pPr>
      <w:r>
        <w:pict>
          <v:shape id="_x0000_i1028" o:spt="75" type="#_x0000_t75" style="height:154pt;width:425.15pt;" filled="f" o:preferrelative="t" stroked="f" coordsize="21600,21600">
            <v:path/>
            <v:fill on="f" focussize="0,0"/>
            <v:stroke on="f"/>
            <v:imagedata r:id="rId15" o:title=""/>
            <o:lock v:ext="edit" aspectratio="t"/>
            <w10:wrap type="none"/>
            <w10:anchorlock/>
          </v:shape>
        </w:pict>
      </w:r>
    </w:p>
    <w:p w14:paraId="65DD2587">
      <w:pPr>
        <w:ind w:firstLine="420"/>
        <w:jc w:val="center"/>
      </w:pPr>
      <w:r>
        <w:rPr>
          <w:rFonts w:eastAsia="楷体"/>
          <w:sz w:val="21"/>
        </w:rPr>
        <w:t>图 1  面向神经工程科研/康复实训的跨被试脑电解码系统四层架构</w:t>
      </w:r>
    </w:p>
    <w:p w14:paraId="6FF5ABF1">
      <w:pPr>
        <w:spacing w:line="240" w:lineRule="auto"/>
        <w:ind w:firstLine="480"/>
      </w:pPr>
      <w:r>
        <w:t>使用流程为：用户佩戴头帽后，系统利用其无标签信号秒级估计协方差并完成对齐；用户想象肢体运动，STFA-Net 对 4 s 信号实时推理（GPU 约 0.15 ms、CPU 约 3.1 ms/样本），输出三类后验概率并翻译为机械臂动作指令，形成“想象—解码—执行—视觉反馈”闭环；展示层同步呈现决策脑区与置信度，供科研分析与课堂示教。</w:t>
      </w:r>
    </w:p>
    <w:p w14:paraId="3ED23F14">
      <w:pPr>
        <w:pStyle w:val="3"/>
        <w:bidi w:val="0"/>
      </w:pPr>
      <w:bookmarkStart w:id="21" w:name="_Toc18739"/>
      <w:bookmarkStart w:id="22" w:name="_Toc5551"/>
      <w:r>
        <w:t>（二）数据平台与预处理</w:t>
      </w:r>
      <w:bookmarkEnd w:id="21"/>
      <w:bookmarkEnd w:id="22"/>
    </w:p>
    <w:p w14:paraId="22CAA5EE">
      <w:pPr>
        <w:spacing w:line="240" w:lineRule="auto"/>
        <w:ind w:firstLine="480"/>
      </w:pPr>
      <w:r>
        <w:t>采用国际公开基准 BCI Competition IV-2a</w:t>
      </w:r>
      <w:r>
        <w:rPr>
          <w:vertAlign w:val="superscript"/>
        </w:rPr>
        <w:t>[2]</w:t>
      </w:r>
      <w:r>
        <w:t>：22 个 EEG 导联（国际 10-20 系统），采样率 250 Hz；9 名被试各含训练（T）、评测（E）两个场次，每场次 288 试验，剔除舌头类后每场次 216 个三类试验（左手、右手、双脚各 72 个），共 3888 个试验、完全均衡；E 场次真值标签采用竞赛官方公布的 A0XE.mat 标签包。预处理采用 4 阶 Butterworth 零相位 1–40 Hz 带通与 50 Hz 陷波（Q=30），取提示音后 0.5–4.5 s 共 1000 个采样点，避开早期视觉诱发电位；标准化统计量只在训练集拟合，杜绝信息泄漏。</w:t>
      </w:r>
    </w:p>
    <w:p w14:paraId="534C4FC3">
      <w:pPr>
        <w:spacing w:line="240" w:lineRule="auto"/>
        <w:ind w:firstLine="480"/>
      </w:pPr>
      <w:r>
        <w:t>设置两种评测协议：①被试内协议，两场次数据混合分层划分训练/验证/测试（64%/16%/20%），评测方法上限；②跨被试留一协议（LOSO），留 1 名被试（含其两个场次）整体作测试集、其余 8 人训练，循环 9 折，模拟“新用户即插即用”。全部结果以 5 个随机种子（42/123/2024/7/2025）重复，报告均值±标准差。此外，对 Schirrmeister 等提出的滑窗裁剪训练</w:t>
      </w:r>
      <w:r>
        <w:rPr>
          <w:vertAlign w:val="superscript"/>
        </w:rPr>
        <w:t>[3]</w:t>
      </w:r>
      <w:r>
        <w:t>（2 s 窗、9 倍扩增 + 软投票）进行了 A/B 实测，在本数据管道下无增益（见应用效果部分），故正式协议不采用，结论与设置均随代码公开。</w:t>
      </w:r>
    </w:p>
    <w:p w14:paraId="74054FA3">
      <w:pPr>
        <w:jc w:val="center"/>
      </w:pPr>
      <w:bookmarkStart w:id="23" w:name="_Toc19195"/>
      <w:bookmarkStart w:id="24" w:name="_Toc609"/>
      <w:r>
        <w:pict>
          <v:shape id="_x0000_i1034" o:spt="75" type="#_x0000_t75" style="height:264.25pt;width:396pt;" filled="f" o:preferrelative="t" stroked="f" coordsize="21600,21600">
            <v:path/>
            <v:fill on="f" focussize="0,0"/>
            <v:stroke on="f"/>
            <v:imagedata r:id="rId16" o:title=""/>
            <o:lock v:ext="edit" aspectratio="t"/>
            <w10:wrap type="none"/>
            <w10:anchorlock/>
          </v:shape>
        </w:pict>
      </w:r>
    </w:p>
    <w:p w14:paraId="6D051D95">
      <w:pPr>
        <w:jc w:val="center"/>
      </w:pPr>
      <w:r>
        <w:rPr>
          <w:rFonts w:ascii="宋体" w:hAnsi="宋体" w:eastAsia="宋体"/>
          <w:sz w:val="18"/>
        </w:rPr>
        <w:t>图 0a  脑电信号采集场景：多通道电极帽与实时信号监测</w:t>
      </w:r>
    </w:p>
    <w:p w14:paraId="319CBD70">
      <w:pPr>
        <w:pStyle w:val="3"/>
        <w:bidi w:val="0"/>
      </w:pPr>
      <w:r>
        <w:t>（三）技术选型依据</w:t>
      </w:r>
      <w:bookmarkEnd w:id="23"/>
      <w:bookmarkEnd w:id="24"/>
    </w:p>
    <w:p w14:paraId="651C441B">
      <w:pPr>
        <w:spacing w:line="240" w:lineRule="auto"/>
        <w:ind w:firstLine="480"/>
      </w:pPr>
      <w:r>
        <w:t>技术选型均围绕学科需求给出依据：①选用时序卷积网络而非手工特征，避免 CSP 等方法对被试的强依赖；②保留显式 STFT 频域分支，因 μ/β 节律 ERD/ERS 是该学科公认的生理标志物，频域建模与学科知识同构；③空间维度采用跨 22 电极的深度卷积，对应 C3/Cz/C4 感觉运动区的空间滤波先验；④以约 3 千参数的经典轻量网络 EEGNet</w:t>
      </w:r>
      <w:r>
        <w:rPr>
          <w:vertAlign w:val="superscript"/>
        </w:rPr>
        <w:t>[4]</w:t>
      </w:r>
      <w:r>
        <w:t xml:space="preserve"> 为对照基线，保证“轻量化—精度”比较的公平性与可信度；⑤跨被试采用欧氏对齐</w:t>
      </w:r>
      <w:r>
        <w:rPr>
          <w:vertAlign w:val="superscript"/>
        </w:rPr>
        <w:t>[5]</w:t>
      </w:r>
      <w:r>
        <w:t>（测试端无需标签）与 DANN 式梯度反转</w:t>
      </w:r>
      <w:r>
        <w:rPr>
          <w:vertAlign w:val="superscript"/>
        </w:rPr>
        <w:t>[6]</w:t>
      </w:r>
      <w:r>
        <w:t>，二者均为免校准场景的成熟方法。</w:t>
      </w:r>
    </w:p>
    <w:p w14:paraId="086DB886">
      <w:pPr>
        <w:pStyle w:val="3"/>
        <w:bidi w:val="0"/>
      </w:pPr>
      <w:bookmarkStart w:id="25" w:name="_Toc29405"/>
      <w:bookmarkStart w:id="26" w:name="_Toc15324"/>
      <w:r>
        <w:t>（四）</w:t>
      </w:r>
      <w:r>
        <w:rPr>
          <w:rFonts w:hint="default" w:ascii="Times New Roman" w:hAnsi="Times New Roman" w:cs="Times New Roman"/>
        </w:rPr>
        <w:t>STFA-Net</w:t>
      </w:r>
      <w:r>
        <w:t xml:space="preserve"> 核心模型</w:t>
      </w:r>
      <w:bookmarkEnd w:id="25"/>
      <w:bookmarkEnd w:id="26"/>
    </w:p>
    <w:p w14:paraId="744C91B1">
      <w:pPr>
        <w:spacing w:line="240" w:lineRule="auto"/>
        <w:ind w:firstLine="480"/>
      </w:pPr>
      <w:r>
        <w:t>网络结构如图 2 所示，输入张量 X（1×22×1000）经通道门控后进入并行的时-空主干与频域分支，由可学习 softmax 权重融合，再经特征门控与全连接头输出三类 logits，完整模型仅 13,469 个参数。</w:t>
      </w:r>
    </w:p>
    <w:p w14:paraId="387E292A">
      <w:pPr>
        <w:spacing w:after="0"/>
        <w:ind w:firstLine="480"/>
        <w:jc w:val="center"/>
      </w:pPr>
      <w:r>
        <w:pict>
          <v:shape id="_x0000_i1029" o:spt="75" type="#_x0000_t75" style="height:243.2pt;width:425.15pt;" filled="f" o:preferrelative="t" stroked="f" coordsize="21600,21600">
            <v:path/>
            <v:fill on="f" focussize="0,0"/>
            <v:stroke on="f"/>
            <v:imagedata r:id="rId17" o:title=""/>
            <o:lock v:ext="edit" aspectratio="t"/>
            <w10:wrap type="none"/>
            <w10:anchorlock/>
          </v:shape>
        </w:pict>
      </w:r>
    </w:p>
    <w:p w14:paraId="5AFDFF75">
      <w:pPr>
        <w:ind w:firstLine="420"/>
        <w:jc w:val="center"/>
      </w:pPr>
      <w:r>
        <w:rPr>
          <w:rFonts w:eastAsia="楷体"/>
          <w:sz w:val="21"/>
        </w:rPr>
        <w:t>图 2  STFA-Net 网络结构：时-空-频三分支 + 零初始化自适应门控</w:t>
      </w:r>
    </w:p>
    <w:p w14:paraId="5D3E051E">
      <w:pPr>
        <w:pStyle w:val="4"/>
        <w:bidi w:val="0"/>
      </w:pPr>
      <w:bookmarkStart w:id="27" w:name="_Toc21215"/>
      <w:bookmarkStart w:id="28" w:name="_Toc10936"/>
      <w:r>
        <w:t>1. 多尺度时间卷积</w:t>
      </w:r>
      <w:bookmarkEnd w:id="27"/>
      <w:bookmarkEnd w:id="28"/>
    </w:p>
    <w:p w14:paraId="2F573308">
      <w:pPr>
        <w:spacing w:line="240" w:lineRule="auto"/>
        <w:ind w:firstLine="480"/>
      </w:pPr>
      <w:r>
        <w:t>脑电节律时间尺度跨度大，采用核长 16/32/64（对应 64/128/256 ms）的三组并行一维卷积，拼接形成多时间分辨率表征，后接批归一化、ELU 与 Dropout。</w:t>
      </w:r>
    </w:p>
    <w:p w14:paraId="3F4D794C">
      <w:pPr>
        <w:pStyle w:val="4"/>
        <w:bidi w:val="0"/>
      </w:pPr>
      <w:bookmarkStart w:id="29" w:name="_Toc27930"/>
      <w:bookmarkStart w:id="30" w:name="_Toc24297"/>
      <w:r>
        <w:t>2. 深度空间卷积</w:t>
      </w:r>
      <w:bookmarkEnd w:id="29"/>
      <w:bookmarkEnd w:id="30"/>
    </w:p>
    <w:p w14:paraId="1A3325B7">
      <w:pPr>
        <w:spacing w:line="240" w:lineRule="auto"/>
        <w:ind w:firstLine="480"/>
      </w:pPr>
      <w:r>
        <w:t>判别信息分布在 C3/Cz/C4 等感觉运动区通道及其组合中。采用逐特征图的深度卷积在 22 个电极维度做空间滤波，每个时间滤波器独立学习一个空间模式，以极少参数捕获跨脑区协同，后接批归一化、ELU 与平均池化。</w:t>
      </w:r>
    </w:p>
    <w:p w14:paraId="373A8D6F">
      <w:pPr>
        <w:pStyle w:val="4"/>
        <w:bidi w:val="0"/>
      </w:pPr>
      <w:bookmarkStart w:id="31" w:name="_Toc16068"/>
      <w:bookmarkStart w:id="32" w:name="_Toc13644"/>
      <w:r>
        <w:t>3. STFT 频域分支</w:t>
      </w:r>
      <w:bookmarkEnd w:id="31"/>
      <w:bookmarkEnd w:id="32"/>
    </w:p>
    <w:p w14:paraId="5C50BEC1">
      <w:pPr>
        <w:spacing w:line="240" w:lineRule="auto"/>
        <w:ind w:firstLine="480"/>
      </w:pPr>
      <w:r>
        <w:t>对信号做短时傅里叶变换（窗 128 点、步长 64 点）得到 log 幅度谱，仅保留 1–40 Hz 频点，经一层 3×3 二维卷积（22 通道输入、16 通道输出）与全局平均池化提取 μ/β 节律的时频能量模式，与时序分支形成频域互补。</w:t>
      </w:r>
    </w:p>
    <w:p w14:paraId="20B2CD61">
      <w:pPr>
        <w:pStyle w:val="4"/>
        <w:bidi w:val="0"/>
      </w:pPr>
      <w:bookmarkStart w:id="33" w:name="_Toc28232"/>
      <w:bookmarkStart w:id="34" w:name="_Toc1682"/>
      <w:r>
        <w:t>4. 自适应特征融合</w:t>
      </w:r>
      <w:bookmarkEnd w:id="33"/>
      <w:bookmarkEnd w:id="34"/>
    </w:p>
    <w:p w14:paraId="067DBEDC">
      <w:pPr>
        <w:spacing w:line="240" w:lineRule="auto"/>
        <w:ind w:firstLine="480"/>
      </w:pPr>
      <w:r>
        <w:t>两分支特征经门控加权后由可学习 softmax 权重融合：F_fus = Σ π_b·F_b，π_b = exp(s_b)/Σ exp(s_b')，使网络自主决定时、频证据的相对可信度。</w:t>
      </w:r>
    </w:p>
    <w:p w14:paraId="210FAF60">
      <w:pPr>
        <w:pStyle w:val="3"/>
        <w:bidi w:val="0"/>
      </w:pPr>
      <w:bookmarkStart w:id="35" w:name="_Toc25955"/>
      <w:bookmarkStart w:id="36" w:name="_Toc2464"/>
      <w:r>
        <w:t>（五）模块可靠性自适应门控（</w:t>
      </w:r>
      <w:r>
        <w:rPr>
          <w:rFonts w:hint="default" w:ascii="Times New Roman" w:hAnsi="Times New Roman" w:cs="Times New Roman"/>
        </w:rPr>
        <w:t>MAG</w:t>
      </w:r>
      <w:r>
        <w:t>）</w:t>
      </w:r>
      <w:bookmarkEnd w:id="35"/>
      <w:bookmarkEnd w:id="36"/>
    </w:p>
    <w:p w14:paraId="71C7CB37">
      <w:pPr>
        <w:spacing w:line="240" w:lineRule="auto"/>
        <w:ind w:firstLine="480"/>
      </w:pPr>
      <w:r>
        <w:t>EEG 小样本下，注意力、频域等模块并不总能带来收益，而常规乘性 sigmoid 门控在训练初期会随机压制信号。本作品提出零初始化残差门控（图 3）：</w:t>
      </w:r>
    </w:p>
    <w:p w14:paraId="18CBF8EA">
      <w:pPr>
        <w:ind w:firstLine="482"/>
        <w:jc w:val="center"/>
      </w:pPr>
      <w:r>
        <w:rPr>
          <w:b/>
        </w:rPr>
        <w:t>x′ = x ⊙ ( 1 + α · σ(g(x)) )，  α(0) = 0</w:t>
      </w:r>
    </w:p>
    <w:p w14:paraId="6418ED44">
      <w:pPr>
        <w:spacing w:line="240" w:lineRule="auto"/>
        <w:ind w:firstLine="480"/>
      </w:pPr>
      <w:r>
        <w:t>其中 g(·) 为压缩-激励映射，α 为标量可学习参数。该设计具有三条性质：①恒等起步——初始门控严格等于输入，新模块接入瞬间不破坏已有特征；②数据裁决——α 由分类损失梯度自由更新，正值表示增强、近零表示关闭、负值表示抑制；③可证伪、可导出——训练后可直接读出 α，对“模块是否有用”给出量化证据，契合科研场景对可解释结论的要求。通道、时间、特征三个注意力模块与频域分支均挂载独立门控。</w:t>
      </w:r>
    </w:p>
    <w:p w14:paraId="2B5335C0">
      <w:pPr>
        <w:spacing w:after="0"/>
        <w:ind w:firstLine="480"/>
        <w:jc w:val="center"/>
      </w:pPr>
      <w:r>
        <w:pict>
          <v:shape id="_x0000_i1030" o:spt="75" type="#_x0000_t75" style="height:163.15pt;width:425.15pt;" filled="f" o:preferrelative="t" stroked="f" coordsize="21600,21600">
            <v:path/>
            <v:fill on="f" focussize="0,0"/>
            <v:stroke on="f"/>
            <v:imagedata r:id="rId18" o:title=""/>
            <o:lock v:ext="edit" aspectratio="t"/>
            <w10:wrap type="none"/>
            <w10:anchorlock/>
          </v:shape>
        </w:pict>
      </w:r>
    </w:p>
    <w:p w14:paraId="3241DDBE">
      <w:pPr>
        <w:ind w:firstLine="420"/>
        <w:jc w:val="center"/>
      </w:pPr>
      <w:r>
        <w:rPr>
          <w:rFonts w:eastAsia="楷体"/>
          <w:sz w:val="21"/>
        </w:rPr>
        <w:t>图 3  MAG 门控机制与 5 seeds 训练后 α 实测值</w:t>
      </w:r>
    </w:p>
    <w:p w14:paraId="23E49772">
      <w:pPr>
        <w:pStyle w:val="3"/>
        <w:bidi w:val="0"/>
      </w:pPr>
      <w:bookmarkStart w:id="37" w:name="_Toc32576"/>
      <w:bookmarkStart w:id="38" w:name="_Toc21903"/>
      <w:r>
        <w:t>（六）跨被试免校准泛化方法</w:t>
      </w:r>
      <w:bookmarkEnd w:id="37"/>
      <w:bookmarkEnd w:id="38"/>
    </w:p>
    <w:p w14:paraId="1392A697">
      <w:pPr>
        <w:spacing w:line="240" w:lineRule="auto"/>
        <w:ind w:firstLine="480"/>
      </w:pPr>
      <w:r>
        <w:t>跨被试方案由两项技术组成（图 4）。①欧氏对齐（EA）：对被试 s 的无标签试验按“被试×场次”估计迹归一化平均协方差 R̄_s，以 R̄_s^(−1/2) 左乘其全部试验，将不同被试脑电空间分布对齐到同一参考系；测试端仅使用自身信号、无需标签，且两场次分别估计参考矩阵以应对跨日漂移。②梯度反转域对抗（GRL）：特征提取器后并联被试鉴别器，前向恒等、反向梯度乘以 −λ(p)，与任务分类器博弈，迫使特征保留运动意图信息同时“无法识别被试身份”。λ 按训练进度 p 由 0 预热至 0.2，总损失 L = L_task + λ(p)·L_domain。</w:t>
      </w:r>
    </w:p>
    <w:p w14:paraId="7C0DAED7">
      <w:pPr>
        <w:spacing w:after="0"/>
        <w:ind w:firstLine="480"/>
        <w:jc w:val="center"/>
      </w:pPr>
      <w:r>
        <w:pict>
          <v:shape id="_x0000_i1031" o:spt="75" type="#_x0000_t75" style="height:182.1pt;width:425.15pt;" filled="f" o:preferrelative="t" stroked="f" coordsize="21600,21600">
            <v:path/>
            <v:fill on="f" focussize="0,0"/>
            <v:stroke on="f"/>
            <v:imagedata r:id="rId19" o:title=""/>
            <o:lock v:ext="edit" aspectratio="t"/>
            <w10:wrap type="none"/>
            <w10:anchorlock/>
          </v:shape>
        </w:pict>
      </w:r>
    </w:p>
    <w:p w14:paraId="33F972F4">
      <w:pPr>
        <w:ind w:firstLine="420"/>
        <w:jc w:val="center"/>
      </w:pPr>
      <w:r>
        <w:rPr>
          <w:rFonts w:eastAsia="楷体"/>
          <w:sz w:val="21"/>
        </w:rPr>
        <w:t>图 4  LOSO 协议 + 欧氏对齐(EA) + 梯度反转域对抗(GRL)</w:t>
      </w:r>
    </w:p>
    <w:p w14:paraId="03BBD66F">
      <w:pPr>
        <w:pStyle w:val="2"/>
        <w:bidi w:val="0"/>
      </w:pPr>
      <w:bookmarkStart w:id="39" w:name="_Toc14260"/>
      <w:bookmarkStart w:id="40" w:name="_Toc4424"/>
      <w:r>
        <w:t>四、方案可行性</w:t>
      </w:r>
      <w:bookmarkEnd w:id="39"/>
      <w:bookmarkEnd w:id="40"/>
    </w:p>
    <w:p w14:paraId="581E00FE">
      <w:pPr>
        <w:pStyle w:val="3"/>
        <w:bidi w:val="0"/>
      </w:pPr>
      <w:bookmarkStart w:id="41" w:name="_Toc21331"/>
      <w:bookmarkStart w:id="42" w:name="_Toc16721"/>
      <w:r>
        <w:t>（一）技术可行性</w:t>
      </w:r>
      <w:bookmarkEnd w:id="41"/>
      <w:bookmarkEnd w:id="42"/>
    </w:p>
    <w:p w14:paraId="1218F19C">
      <w:pPr>
        <w:spacing w:line="240" w:lineRule="auto"/>
        <w:ind w:firstLine="480"/>
      </w:pPr>
      <w:r>
        <w:t>算法基于成熟开源技术栈（Python、PyTorch、MNE、scikit-learn），全部代码约两千行、配置与逻辑分离，提供一键复现命令；核心模型仅 13,469 个参数，GPU 与普通 CPU 均可实时推理（4 s 片段 CPU 约 3.1 ms/样本），无需专用加速硬件。验证数据为领域标准公开基准，实验采用五种子重复、逐折明细与混淆矩阵留档，结果可由第三方独立复核，技术风险可控。</w:t>
      </w:r>
    </w:p>
    <w:p w14:paraId="61F99F46">
      <w:pPr>
        <w:pStyle w:val="3"/>
        <w:bidi w:val="0"/>
      </w:pPr>
      <w:bookmarkStart w:id="43" w:name="_Toc20164"/>
      <w:bookmarkStart w:id="44" w:name="_Toc8127"/>
      <w:r>
        <w:t>（二）经济可行性</w:t>
      </w:r>
      <w:bookmarkEnd w:id="43"/>
      <w:bookmarkEnd w:id="44"/>
    </w:p>
    <w:p w14:paraId="406023B6">
      <w:pPr>
        <w:spacing w:line="240" w:lineRule="auto"/>
        <w:ind w:firstLine="480"/>
      </w:pPr>
      <w:r>
        <w:t>硬件仅需 22 导科研级 EEG 采集设备（学科实验室常规配置，无需新增昂贵影像设备）与一台普通计算机；软件全部使用开源依赖、无许可费用；免校准特性使单位时间内可服务更多被试/学生，边际成本低。整套方案可在既有神经工程实验室内落地，新增预算主要为教学型机械臂套件，成本可控。</w:t>
      </w:r>
    </w:p>
    <w:p w14:paraId="4346CA71">
      <w:pPr>
        <w:pStyle w:val="3"/>
        <w:bidi w:val="0"/>
      </w:pPr>
      <w:bookmarkStart w:id="45" w:name="_Toc27720"/>
      <w:bookmarkStart w:id="46" w:name="_Toc7672"/>
      <w:r>
        <w:t>（三）推广价值与落地路径</w:t>
      </w:r>
      <w:bookmarkEnd w:id="45"/>
      <w:bookmarkEnd w:id="46"/>
    </w:p>
    <w:p w14:paraId="0DD13C47">
      <w:pPr>
        <w:spacing w:line="240" w:lineRule="auto"/>
        <w:ind w:firstLine="480"/>
      </w:pPr>
      <w:r>
        <w:t>算法与采集硬件、执行机构解耦，凡输出 22 导（及以上）标准导联 EEG 的设备均可复用，因而可直接推广至同类院校的神经工程/康复工程课程实验、科研课题与地市级医院康复科。落地路径分三步：①公开基准验证（已完成）；②与合作学科实验室联合采集小规模在线数据，完成机械臂闭环示教；③形成实验实训案例包与部署镜像，向同类院校复制。复用条件、成本与路径明确，具备推广价值。</w:t>
      </w:r>
    </w:p>
    <w:p w14:paraId="2F02207F">
      <w:pPr>
        <w:pStyle w:val="2"/>
        <w:bidi w:val="0"/>
      </w:pPr>
      <w:bookmarkStart w:id="47" w:name="_Toc29940"/>
      <w:bookmarkStart w:id="48" w:name="_Toc9823"/>
      <w:r>
        <w:t>五、项目实施</w:t>
      </w:r>
      <w:bookmarkEnd w:id="47"/>
      <w:bookmarkEnd w:id="48"/>
    </w:p>
    <w:p w14:paraId="7FA58485">
      <w:pPr>
        <w:pStyle w:val="3"/>
        <w:bidi w:val="0"/>
      </w:pPr>
      <w:bookmarkStart w:id="49" w:name="_Toc21782"/>
      <w:bookmarkStart w:id="50" w:name="_Toc17671"/>
      <w:r>
        <w:t>（一）实施计划</w:t>
      </w:r>
      <w:bookmarkEnd w:id="49"/>
      <w:bookmarkEnd w:id="50"/>
    </w:p>
    <w:p w14:paraId="0BD9E119">
      <w:pPr>
        <w:ind w:firstLine="422"/>
        <w:jc w:val="center"/>
      </w:pPr>
      <w:r>
        <w:rPr>
          <w:rFonts w:eastAsia="黑体"/>
          <w:b/>
          <w:sz w:val="21"/>
        </w:rPr>
        <w:t>表 2  项目实施计划（阶段、任务与状态）</w:t>
      </w:r>
    </w:p>
    <w:tbl>
      <w:tblPr>
        <w:tblStyle w:val="15"/>
        <w:tblW w:w="0" w:type="auto"/>
        <w:jc w:val="center"/>
        <w:tblLayout w:type="autofit"/>
        <w:tblCellMar>
          <w:top w:w="0" w:type="dxa"/>
          <w:left w:w="108" w:type="dxa"/>
          <w:bottom w:w="0" w:type="dxa"/>
          <w:right w:w="108" w:type="dxa"/>
        </w:tblCellMar>
      </w:tblPr>
      <w:tblGrid>
        <w:gridCol w:w="1898"/>
        <w:gridCol w:w="1898"/>
        <w:gridCol w:w="3026"/>
        <w:gridCol w:w="1898"/>
      </w:tblGrid>
      <w:tr w14:paraId="343E3EDC">
        <w:tblPrEx>
          <w:tblCellMar>
            <w:top w:w="0" w:type="dxa"/>
            <w:left w:w="108" w:type="dxa"/>
            <w:bottom w:w="0" w:type="dxa"/>
            <w:right w:w="108" w:type="dxa"/>
          </w:tblCellMar>
        </w:tblPrEx>
        <w:trPr>
          <w:jc w:val="center"/>
        </w:trPr>
        <w:tc>
          <w:tcPr>
            <w:tcW w:w="2126" w:type="dxa"/>
            <w:shd w:val="clear" w:color="auto" w:fill="D9E2F3"/>
          </w:tcPr>
          <w:p w14:paraId="409D3C72">
            <w:pPr>
              <w:ind w:firstLine="422"/>
              <w:jc w:val="center"/>
            </w:pPr>
            <w:r>
              <w:rPr>
                <w:rFonts w:eastAsia="黑体"/>
                <w:b/>
                <w:sz w:val="21"/>
              </w:rPr>
              <w:t>阶段</w:t>
            </w:r>
          </w:p>
        </w:tc>
        <w:tc>
          <w:tcPr>
            <w:tcW w:w="2126" w:type="dxa"/>
            <w:shd w:val="clear" w:color="auto" w:fill="D9E2F3"/>
          </w:tcPr>
          <w:p w14:paraId="6B24BC60">
            <w:pPr>
              <w:ind w:firstLine="422"/>
              <w:jc w:val="center"/>
            </w:pPr>
            <w:r>
              <w:rPr>
                <w:rFonts w:eastAsia="黑体"/>
                <w:b/>
                <w:sz w:val="21"/>
              </w:rPr>
              <w:t>时间</w:t>
            </w:r>
          </w:p>
        </w:tc>
        <w:tc>
          <w:tcPr>
            <w:tcW w:w="2126" w:type="dxa"/>
            <w:shd w:val="clear" w:color="auto" w:fill="D9E2F3"/>
          </w:tcPr>
          <w:p w14:paraId="7B5B9C58">
            <w:pPr>
              <w:ind w:firstLine="422"/>
              <w:jc w:val="center"/>
            </w:pPr>
            <w:r>
              <w:rPr>
                <w:rFonts w:eastAsia="黑体"/>
                <w:b/>
                <w:sz w:val="21"/>
              </w:rPr>
              <w:t>主要任务</w:t>
            </w:r>
          </w:p>
        </w:tc>
        <w:tc>
          <w:tcPr>
            <w:tcW w:w="2126" w:type="dxa"/>
            <w:shd w:val="clear" w:color="auto" w:fill="D9E2F3"/>
          </w:tcPr>
          <w:p w14:paraId="0489C459">
            <w:pPr>
              <w:ind w:firstLine="422"/>
              <w:jc w:val="center"/>
            </w:pPr>
            <w:r>
              <w:rPr>
                <w:rFonts w:eastAsia="黑体"/>
                <w:b/>
                <w:sz w:val="21"/>
              </w:rPr>
              <w:t>状态</w:t>
            </w:r>
          </w:p>
        </w:tc>
      </w:tr>
      <w:tr w14:paraId="77AE9A12">
        <w:tblPrEx>
          <w:tblCellMar>
            <w:top w:w="0" w:type="dxa"/>
            <w:left w:w="108" w:type="dxa"/>
            <w:bottom w:w="0" w:type="dxa"/>
            <w:right w:w="108" w:type="dxa"/>
          </w:tblCellMar>
        </w:tblPrEx>
        <w:trPr>
          <w:jc w:val="center"/>
        </w:trPr>
        <w:tc>
          <w:tcPr>
            <w:tcW w:w="2126" w:type="dxa"/>
          </w:tcPr>
          <w:p w14:paraId="52FE3E0F">
            <w:pPr>
              <w:ind w:firstLine="400"/>
              <w:jc w:val="center"/>
            </w:pPr>
            <w:r>
              <w:rPr>
                <w:sz w:val="20"/>
              </w:rPr>
              <w:t>1 学科需求与调研</w:t>
            </w:r>
          </w:p>
        </w:tc>
        <w:tc>
          <w:tcPr>
            <w:tcW w:w="2126" w:type="dxa"/>
          </w:tcPr>
          <w:p w14:paraId="7E9FB1DE">
            <w:pPr>
              <w:ind w:firstLine="400"/>
              <w:jc w:val="center"/>
            </w:pPr>
            <w:r>
              <w:rPr>
                <w:sz w:val="20"/>
              </w:rPr>
              <w:t>第 1–2 月</w:t>
            </w:r>
          </w:p>
        </w:tc>
        <w:tc>
          <w:tcPr>
            <w:tcW w:w="2126" w:type="dxa"/>
          </w:tcPr>
          <w:p w14:paraId="4F778B7B">
            <w:pPr>
              <w:ind w:firstLine="400"/>
              <w:jc w:val="center"/>
            </w:pPr>
            <w:r>
              <w:rPr>
                <w:sz w:val="20"/>
              </w:rPr>
              <w:t>神经工程/康复工程需求梳理、公开数据与文献调研</w:t>
            </w:r>
          </w:p>
        </w:tc>
        <w:tc>
          <w:tcPr>
            <w:tcW w:w="2126" w:type="dxa"/>
          </w:tcPr>
          <w:p w14:paraId="382ED503">
            <w:pPr>
              <w:ind w:firstLine="400"/>
              <w:jc w:val="center"/>
            </w:pPr>
            <w:r>
              <w:rPr>
                <w:sz w:val="20"/>
              </w:rPr>
              <w:t>已完成</w:t>
            </w:r>
          </w:p>
        </w:tc>
      </w:tr>
      <w:tr w14:paraId="2B2A5B7F">
        <w:trPr>
          <w:jc w:val="center"/>
        </w:trPr>
        <w:tc>
          <w:tcPr>
            <w:tcW w:w="2126" w:type="dxa"/>
          </w:tcPr>
          <w:p w14:paraId="00599769">
            <w:pPr>
              <w:ind w:firstLine="400"/>
              <w:jc w:val="center"/>
            </w:pPr>
            <w:r>
              <w:rPr>
                <w:sz w:val="20"/>
              </w:rPr>
              <w:t>2 数据平台</w:t>
            </w:r>
          </w:p>
        </w:tc>
        <w:tc>
          <w:tcPr>
            <w:tcW w:w="2126" w:type="dxa"/>
          </w:tcPr>
          <w:p w14:paraId="081235CB">
            <w:pPr>
              <w:ind w:firstLine="400"/>
              <w:jc w:val="center"/>
            </w:pPr>
            <w:r>
              <w:rPr>
                <w:sz w:val="20"/>
              </w:rPr>
              <w:t>第 2–3 月</w:t>
            </w:r>
          </w:p>
        </w:tc>
        <w:tc>
          <w:tcPr>
            <w:tcW w:w="2126" w:type="dxa"/>
          </w:tcPr>
          <w:p w14:paraId="3DA66B63">
            <w:pPr>
              <w:ind w:firstLine="400"/>
              <w:jc w:val="center"/>
            </w:pPr>
            <w:r>
              <w:rPr>
                <w:sz w:val="20"/>
              </w:rPr>
              <w:t>GDF 解析、两场次对齐、滤波缓存、两种评测协议</w:t>
            </w:r>
          </w:p>
        </w:tc>
        <w:tc>
          <w:tcPr>
            <w:tcW w:w="2126" w:type="dxa"/>
          </w:tcPr>
          <w:p w14:paraId="3472977D">
            <w:pPr>
              <w:ind w:firstLine="400"/>
              <w:jc w:val="center"/>
            </w:pPr>
            <w:r>
              <w:rPr>
                <w:sz w:val="20"/>
              </w:rPr>
              <w:t>已完成</w:t>
            </w:r>
          </w:p>
        </w:tc>
      </w:tr>
      <w:tr w14:paraId="32EE7B2C">
        <w:tblPrEx>
          <w:tblCellMar>
            <w:top w:w="0" w:type="dxa"/>
            <w:left w:w="108" w:type="dxa"/>
            <w:bottom w:w="0" w:type="dxa"/>
            <w:right w:w="108" w:type="dxa"/>
          </w:tblCellMar>
        </w:tblPrEx>
        <w:trPr>
          <w:jc w:val="center"/>
        </w:trPr>
        <w:tc>
          <w:tcPr>
            <w:tcW w:w="2126" w:type="dxa"/>
          </w:tcPr>
          <w:p w14:paraId="1304DCC0">
            <w:pPr>
              <w:ind w:firstLine="400"/>
              <w:jc w:val="center"/>
            </w:pPr>
            <w:r>
              <w:rPr>
                <w:sz w:val="20"/>
              </w:rPr>
              <w:t>3 算法研究与离线验证</w:t>
            </w:r>
          </w:p>
        </w:tc>
        <w:tc>
          <w:tcPr>
            <w:tcW w:w="2126" w:type="dxa"/>
          </w:tcPr>
          <w:p w14:paraId="3C955B69">
            <w:pPr>
              <w:ind w:firstLine="400"/>
              <w:jc w:val="center"/>
            </w:pPr>
            <w:r>
              <w:rPr>
                <w:sz w:val="20"/>
              </w:rPr>
              <w:t>第 3–5 月</w:t>
            </w:r>
          </w:p>
        </w:tc>
        <w:tc>
          <w:tcPr>
            <w:tcW w:w="2126" w:type="dxa"/>
          </w:tcPr>
          <w:p w14:paraId="48E0A4AF">
            <w:pPr>
              <w:ind w:firstLine="400"/>
              <w:jc w:val="center"/>
            </w:pPr>
            <w:r>
              <w:rPr>
                <w:sz w:val="20"/>
              </w:rPr>
              <w:t>STFA-Net/MAG/EA/GRL、五种子对比/消融/LOSO</w:t>
            </w:r>
          </w:p>
        </w:tc>
        <w:tc>
          <w:tcPr>
            <w:tcW w:w="2126" w:type="dxa"/>
          </w:tcPr>
          <w:p w14:paraId="6D1AA9BC">
            <w:pPr>
              <w:ind w:firstLine="400"/>
              <w:jc w:val="center"/>
            </w:pPr>
            <w:r>
              <w:rPr>
                <w:sz w:val="20"/>
              </w:rPr>
              <w:t>已完成</w:t>
            </w:r>
          </w:p>
        </w:tc>
      </w:tr>
      <w:tr w14:paraId="5F1C160D">
        <w:tblPrEx>
          <w:tblCellMar>
            <w:top w:w="0" w:type="dxa"/>
            <w:left w:w="108" w:type="dxa"/>
            <w:bottom w:w="0" w:type="dxa"/>
            <w:right w:w="108" w:type="dxa"/>
          </w:tblCellMar>
        </w:tblPrEx>
        <w:trPr>
          <w:jc w:val="center"/>
        </w:trPr>
        <w:tc>
          <w:tcPr>
            <w:tcW w:w="2126" w:type="dxa"/>
          </w:tcPr>
          <w:p w14:paraId="01F813CA">
            <w:pPr>
              <w:ind w:firstLine="400"/>
              <w:jc w:val="center"/>
            </w:pPr>
            <w:r>
              <w:rPr>
                <w:sz w:val="20"/>
              </w:rPr>
              <w:t>4 在线系统集成</w:t>
            </w:r>
          </w:p>
        </w:tc>
        <w:tc>
          <w:tcPr>
            <w:tcW w:w="2126" w:type="dxa"/>
          </w:tcPr>
          <w:p w14:paraId="251BE6D4">
            <w:pPr>
              <w:ind w:firstLine="400"/>
              <w:jc w:val="center"/>
            </w:pPr>
            <w:r>
              <w:rPr>
                <w:sz w:val="20"/>
              </w:rPr>
              <w:t>第 6–7 月</w:t>
            </w:r>
          </w:p>
        </w:tc>
        <w:tc>
          <w:tcPr>
            <w:tcW w:w="2126" w:type="dxa"/>
          </w:tcPr>
          <w:p w14:paraId="3A732092">
            <w:pPr>
              <w:ind w:firstLine="400"/>
              <w:jc w:val="center"/>
            </w:pPr>
            <w:r>
              <w:rPr>
                <w:sz w:val="20"/>
              </w:rPr>
              <w:t>机械臂 SDK 对接、实时流推理、在线指标采集</w:t>
            </w:r>
          </w:p>
        </w:tc>
        <w:tc>
          <w:tcPr>
            <w:tcW w:w="2126" w:type="dxa"/>
          </w:tcPr>
          <w:p w14:paraId="6DB54B71">
            <w:pPr>
              <w:ind w:firstLine="400"/>
              <w:jc w:val="center"/>
            </w:pPr>
            <w:r>
              <w:rPr>
                <w:sz w:val="20"/>
              </w:rPr>
              <w:t>计划中</w:t>
            </w:r>
          </w:p>
        </w:tc>
      </w:tr>
      <w:tr w14:paraId="3494F846">
        <w:tblPrEx>
          <w:tblCellMar>
            <w:top w:w="0" w:type="dxa"/>
            <w:left w:w="108" w:type="dxa"/>
            <w:bottom w:w="0" w:type="dxa"/>
            <w:right w:w="108" w:type="dxa"/>
          </w:tblCellMar>
        </w:tblPrEx>
        <w:trPr>
          <w:jc w:val="center"/>
        </w:trPr>
        <w:tc>
          <w:tcPr>
            <w:tcW w:w="2126" w:type="dxa"/>
          </w:tcPr>
          <w:p w14:paraId="5386CF0E">
            <w:pPr>
              <w:ind w:firstLine="400"/>
              <w:jc w:val="center"/>
            </w:pPr>
            <w:r>
              <w:rPr>
                <w:sz w:val="20"/>
              </w:rPr>
              <w:t>5 试点与推广</w:t>
            </w:r>
          </w:p>
        </w:tc>
        <w:tc>
          <w:tcPr>
            <w:tcW w:w="2126" w:type="dxa"/>
          </w:tcPr>
          <w:p w14:paraId="75C24039">
            <w:pPr>
              <w:ind w:firstLine="400"/>
              <w:jc w:val="center"/>
            </w:pPr>
            <w:r>
              <w:rPr>
                <w:sz w:val="20"/>
              </w:rPr>
              <w:t>第 8–10 月</w:t>
            </w:r>
          </w:p>
        </w:tc>
        <w:tc>
          <w:tcPr>
            <w:tcW w:w="2126" w:type="dxa"/>
          </w:tcPr>
          <w:p w14:paraId="3826B960">
            <w:pPr>
              <w:ind w:firstLine="400"/>
              <w:jc w:val="center"/>
            </w:pPr>
            <w:r>
              <w:rPr>
                <w:sz w:val="20"/>
              </w:rPr>
              <w:t>合作实验室实训试点、教学案例包、跨数据集验证</w:t>
            </w:r>
          </w:p>
        </w:tc>
        <w:tc>
          <w:tcPr>
            <w:tcW w:w="2126" w:type="dxa"/>
          </w:tcPr>
          <w:p w14:paraId="40A27CA7">
            <w:pPr>
              <w:ind w:firstLine="400"/>
              <w:jc w:val="center"/>
            </w:pPr>
            <w:r>
              <w:rPr>
                <w:sz w:val="20"/>
              </w:rPr>
              <w:t>计划中</w:t>
            </w:r>
          </w:p>
        </w:tc>
      </w:tr>
    </w:tbl>
    <w:p w14:paraId="52055498">
      <w:pPr>
        <w:spacing w:after="0"/>
        <w:ind w:firstLine="480"/>
      </w:pPr>
    </w:p>
    <w:p w14:paraId="318B29C8">
      <w:pPr>
        <w:pStyle w:val="3"/>
        <w:bidi w:val="0"/>
      </w:pPr>
      <w:bookmarkStart w:id="51" w:name="_Toc14265"/>
      <w:bookmarkStart w:id="52" w:name="_Toc13152"/>
      <w:r>
        <w:t>（二）资源保障</w:t>
      </w:r>
      <w:bookmarkEnd w:id="51"/>
      <w:bookmarkEnd w:id="52"/>
    </w:p>
    <w:p w14:paraId="42CE99F9">
      <w:pPr>
        <w:spacing w:line="240" w:lineRule="auto"/>
        <w:ind w:firstLine="480"/>
      </w:pPr>
      <w:r>
        <w:t>数据资源：BCI IV-2a 公开基准（18 个 GDF 场次及官方 E 场次标签）；硬件资源：NVIDIA RTX 4060 GPU 工作站 1 台、22 导 EEG 设备通道定义明确；软件资源：PyTorch/MNE 开源栈与 Git 版本管理；全部超参数、随机种子与划分脚本随代码交付，保障实施过程可复现。</w:t>
      </w:r>
    </w:p>
    <w:p w14:paraId="0AF5C7C4">
      <w:pPr>
        <w:pStyle w:val="3"/>
        <w:bidi w:val="0"/>
      </w:pPr>
      <w:bookmarkStart w:id="53" w:name="_Toc21155"/>
      <w:bookmarkStart w:id="54" w:name="_Toc4944"/>
      <w:r>
        <w:t>（三）团队协作与分工</w:t>
      </w:r>
      <w:bookmarkEnd w:id="53"/>
      <w:bookmarkEnd w:id="54"/>
    </w:p>
    <w:p w14:paraId="11FD69AC">
      <w:pPr>
        <w:spacing w:line="240" w:lineRule="auto"/>
        <w:ind w:firstLine="480"/>
      </w:pPr>
      <w:r>
        <w:t>团队按三类角色协作（按竞赛公平性要求，此处不列姓名、学校与指导教师信息）：①算法角色——网络结构、训练策略与实验编排；②学科角色——神经科学/康复工程需求界定、范式与脑区先验审核、结果生理解释；③系统与测试角色——数据管道、机械臂集成、多种子测试与材料整理。角色间通过统一配置文件与结果 CSV 接口协作，算法输出可直接被系统层调用。</w:t>
      </w:r>
    </w:p>
    <w:p w14:paraId="41CB9931">
      <w:pPr>
        <w:pStyle w:val="2"/>
        <w:bidi w:val="0"/>
      </w:pPr>
      <w:bookmarkStart w:id="55" w:name="_Toc6693"/>
      <w:bookmarkStart w:id="56" w:name="_Toc4153"/>
      <w:r>
        <w:t>六、应用效果</w:t>
      </w:r>
      <w:bookmarkEnd w:id="55"/>
      <w:bookmarkEnd w:id="56"/>
    </w:p>
    <w:p w14:paraId="3AC0BEFF">
      <w:pPr>
        <w:pStyle w:val="3"/>
        <w:bidi w:val="0"/>
      </w:pPr>
      <w:bookmarkStart w:id="57" w:name="_Toc6314"/>
      <w:bookmarkStart w:id="58" w:name="_Toc10848"/>
      <w:r>
        <w:t>（一）应用效果预期</w:t>
      </w:r>
      <w:bookmarkEnd w:id="57"/>
      <w:bookmarkEnd w:id="58"/>
    </w:p>
    <w:p w14:paraId="0F6C2072">
      <w:pPr>
        <w:spacing w:line="240" w:lineRule="auto"/>
        <w:ind w:firstLine="480"/>
      </w:pPr>
      <w:r>
        <w:t>在学科科研与实训场景，AI 赋能价值预期体现在三个可量化维度：①效率——免校准为每名新用户取消有标签标定环节（实测口径见表 3）；②性能——小样本下解码精度相对经典基线提升（实测见下）；③可教学性——门控 α 值与脑区地形图可直接用于课堂，展示“网络决策—神经生理”的对应关系。下列成果均来自公开基准的真实离线实验，在线试点效果将按第（六）小节声明在后续工作中取得。</w:t>
      </w:r>
    </w:p>
    <w:p w14:paraId="422566CB">
      <w:pPr>
        <w:ind w:firstLine="422"/>
        <w:jc w:val="center"/>
      </w:pPr>
      <w:r>
        <w:rPr>
          <w:rFonts w:eastAsia="黑体"/>
          <w:b/>
          <w:sz w:val="21"/>
        </w:rPr>
        <w:t>表 3  新用户上线流程量化对比（时间/训练/对齐/精度均为本机实测）</w:t>
      </w:r>
    </w:p>
    <w:tbl>
      <w:tblPr>
        <w:tblStyle w:val="15"/>
        <w:tblW w:w="0" w:type="auto"/>
        <w:jc w:val="center"/>
        <w:tblLayout w:type="autofit"/>
        <w:tblCellMar>
          <w:top w:w="0" w:type="dxa"/>
          <w:left w:w="108" w:type="dxa"/>
          <w:bottom w:w="0" w:type="dxa"/>
          <w:right w:w="108" w:type="dxa"/>
        </w:tblCellMar>
      </w:tblPr>
      <w:tblGrid>
        <w:gridCol w:w="2835"/>
        <w:gridCol w:w="2835"/>
        <w:gridCol w:w="2835"/>
      </w:tblGrid>
      <w:tr w14:paraId="62FB1E81">
        <w:tblPrEx>
          <w:tblCellMar>
            <w:top w:w="0" w:type="dxa"/>
            <w:left w:w="108" w:type="dxa"/>
            <w:bottom w:w="0" w:type="dxa"/>
            <w:right w:w="108" w:type="dxa"/>
          </w:tblCellMar>
        </w:tblPrEx>
        <w:trPr>
          <w:jc w:val="center"/>
        </w:trPr>
        <w:tc>
          <w:tcPr>
            <w:tcW w:w="2835" w:type="dxa"/>
            <w:shd w:val="clear" w:color="auto" w:fill="D9E2F3"/>
          </w:tcPr>
          <w:p w14:paraId="2FE5481F">
            <w:pPr>
              <w:ind w:firstLine="422"/>
              <w:jc w:val="center"/>
            </w:pPr>
            <w:r>
              <w:rPr>
                <w:rFonts w:eastAsia="黑体"/>
                <w:b/>
                <w:sz w:val="21"/>
              </w:rPr>
              <w:t>对比维度</w:t>
            </w:r>
          </w:p>
        </w:tc>
        <w:tc>
          <w:tcPr>
            <w:tcW w:w="2835" w:type="dxa"/>
            <w:shd w:val="clear" w:color="auto" w:fill="D9E2F3"/>
          </w:tcPr>
          <w:p w14:paraId="0A0CA6F4">
            <w:pPr>
              <w:ind w:firstLine="422"/>
              <w:jc w:val="center"/>
            </w:pPr>
            <w:r>
              <w:rPr>
                <w:rFonts w:eastAsia="黑体"/>
                <w:b/>
                <w:sz w:val="21"/>
              </w:rPr>
              <w:t>传统有标签校准流程</w:t>
            </w:r>
          </w:p>
        </w:tc>
        <w:tc>
          <w:tcPr>
            <w:tcW w:w="2835" w:type="dxa"/>
            <w:shd w:val="clear" w:color="auto" w:fill="D9E2F3"/>
          </w:tcPr>
          <w:p w14:paraId="226DA261">
            <w:pPr>
              <w:ind w:firstLine="422"/>
              <w:jc w:val="center"/>
            </w:pPr>
            <w:r>
              <w:rPr>
                <w:rFonts w:eastAsia="黑体"/>
                <w:b/>
                <w:sz w:val="21"/>
              </w:rPr>
              <w:t>本作品免校准流程</w:t>
            </w:r>
          </w:p>
        </w:tc>
      </w:tr>
      <w:tr w14:paraId="012CF97B">
        <w:tblPrEx>
          <w:tblCellMar>
            <w:top w:w="0" w:type="dxa"/>
            <w:left w:w="108" w:type="dxa"/>
            <w:bottom w:w="0" w:type="dxa"/>
            <w:right w:w="108" w:type="dxa"/>
          </w:tblCellMar>
        </w:tblPrEx>
        <w:trPr>
          <w:jc w:val="center"/>
        </w:trPr>
        <w:tc>
          <w:tcPr>
            <w:tcW w:w="2835" w:type="dxa"/>
          </w:tcPr>
          <w:p w14:paraId="56CE2EB4">
            <w:pPr>
              <w:ind w:firstLine="400"/>
              <w:jc w:val="center"/>
            </w:pPr>
            <w:r>
              <w:rPr>
                <w:sz w:val="20"/>
              </w:rPr>
              <w:t>新用户有标签试验</w:t>
            </w:r>
          </w:p>
        </w:tc>
        <w:tc>
          <w:tcPr>
            <w:tcW w:w="2835" w:type="dxa"/>
          </w:tcPr>
          <w:p w14:paraId="3EE28230">
            <w:pPr>
              <w:ind w:firstLine="400"/>
              <w:jc w:val="center"/>
            </w:pPr>
            <w:r>
              <w:rPr>
                <w:sz w:val="20"/>
              </w:rPr>
              <w:t>120 个（3 类 × 40）</w:t>
            </w:r>
          </w:p>
        </w:tc>
        <w:tc>
          <w:tcPr>
            <w:tcW w:w="2835" w:type="dxa"/>
          </w:tcPr>
          <w:p w14:paraId="12A93A44">
            <w:pPr>
              <w:ind w:firstLine="400"/>
              <w:jc w:val="center"/>
            </w:pPr>
            <w:r>
              <w:rPr>
                <w:sz w:val="20"/>
              </w:rPr>
              <w:t>0 个（复用跨被试预训练模型）</w:t>
            </w:r>
          </w:p>
        </w:tc>
      </w:tr>
      <w:tr w14:paraId="7F329CC6">
        <w:tblPrEx>
          <w:tblCellMar>
            <w:top w:w="0" w:type="dxa"/>
            <w:left w:w="108" w:type="dxa"/>
            <w:bottom w:w="0" w:type="dxa"/>
            <w:right w:w="108" w:type="dxa"/>
          </w:tblCellMar>
        </w:tblPrEx>
        <w:trPr>
          <w:jc w:val="center"/>
        </w:trPr>
        <w:tc>
          <w:tcPr>
            <w:tcW w:w="2835" w:type="dxa"/>
          </w:tcPr>
          <w:p w14:paraId="356B8EB2">
            <w:pPr>
              <w:ind w:firstLine="400"/>
              <w:jc w:val="center"/>
            </w:pPr>
            <w:r>
              <w:rPr>
                <w:sz w:val="20"/>
              </w:rPr>
              <w:t>标签采集范式耗时</w:t>
            </w:r>
          </w:p>
        </w:tc>
        <w:tc>
          <w:tcPr>
            <w:tcW w:w="2835" w:type="dxa"/>
          </w:tcPr>
          <w:p w14:paraId="7A4E002E">
            <w:pPr>
              <w:ind w:firstLine="400"/>
              <w:jc w:val="center"/>
            </w:pPr>
            <w:r>
              <w:rPr>
                <w:sz w:val="20"/>
              </w:rPr>
              <w:t>约 18.6 分钟（9.30 s/试验，不含戴帽准备）</w:t>
            </w:r>
          </w:p>
        </w:tc>
        <w:tc>
          <w:tcPr>
            <w:tcW w:w="2835" w:type="dxa"/>
          </w:tcPr>
          <w:p w14:paraId="1D69CEE3">
            <w:pPr>
              <w:ind w:firstLine="400"/>
              <w:jc w:val="center"/>
            </w:pPr>
            <w:r>
              <w:rPr>
                <w:sz w:val="20"/>
              </w:rPr>
              <w:t>无标签采集；EA 仅需用户被动脑电，无需人工标注</w:t>
            </w:r>
          </w:p>
        </w:tc>
      </w:tr>
      <w:tr w14:paraId="3EBCBAAA">
        <w:tblPrEx>
          <w:tblCellMar>
            <w:top w:w="0" w:type="dxa"/>
            <w:left w:w="108" w:type="dxa"/>
            <w:bottom w:w="0" w:type="dxa"/>
            <w:right w:w="108" w:type="dxa"/>
          </w:tblCellMar>
        </w:tblPrEx>
        <w:trPr>
          <w:jc w:val="center"/>
        </w:trPr>
        <w:tc>
          <w:tcPr>
            <w:tcW w:w="2835" w:type="dxa"/>
          </w:tcPr>
          <w:p w14:paraId="53B54E9D">
            <w:pPr>
              <w:ind w:firstLine="400"/>
              <w:jc w:val="center"/>
            </w:pPr>
            <w:r>
              <w:rPr>
                <w:sz w:val="20"/>
              </w:rPr>
              <w:t>新用户专属模型训练</w:t>
            </w:r>
          </w:p>
        </w:tc>
        <w:tc>
          <w:tcPr>
            <w:tcW w:w="2835" w:type="dxa"/>
          </w:tcPr>
          <w:p w14:paraId="6D95D272">
            <w:pPr>
              <w:ind w:firstLine="400"/>
              <w:jc w:val="center"/>
            </w:pPr>
            <w:r>
              <w:rPr>
                <w:sz w:val="20"/>
              </w:rPr>
              <w:t>CPU 实测约 5 s（EEGNet）/ 45 s（STFA，4 线程）</w:t>
            </w:r>
          </w:p>
        </w:tc>
        <w:tc>
          <w:tcPr>
            <w:tcW w:w="2835" w:type="dxa"/>
          </w:tcPr>
          <w:p w14:paraId="27B75175">
            <w:pPr>
              <w:ind w:firstLine="400"/>
              <w:jc w:val="center"/>
            </w:pPr>
            <w:r>
              <w:rPr>
                <w:sz w:val="20"/>
              </w:rPr>
              <w:t>无（训练一次、跨用户共享）</w:t>
            </w:r>
          </w:p>
        </w:tc>
      </w:tr>
      <w:tr w14:paraId="017DCBB4">
        <w:tblPrEx>
          <w:tblCellMar>
            <w:top w:w="0" w:type="dxa"/>
            <w:left w:w="108" w:type="dxa"/>
            <w:bottom w:w="0" w:type="dxa"/>
            <w:right w:w="108" w:type="dxa"/>
          </w:tblCellMar>
        </w:tblPrEx>
        <w:trPr>
          <w:jc w:val="center"/>
        </w:trPr>
        <w:tc>
          <w:tcPr>
            <w:tcW w:w="2835" w:type="dxa"/>
          </w:tcPr>
          <w:p w14:paraId="6951D855">
            <w:pPr>
              <w:ind w:firstLine="400"/>
              <w:jc w:val="center"/>
            </w:pPr>
            <w:r>
              <w:rPr>
                <w:sz w:val="20"/>
              </w:rPr>
              <w:t>上线前对齐计算</w:t>
            </w:r>
          </w:p>
        </w:tc>
        <w:tc>
          <w:tcPr>
            <w:tcW w:w="2835" w:type="dxa"/>
          </w:tcPr>
          <w:p w14:paraId="03E52726">
            <w:pPr>
              <w:ind w:firstLine="400"/>
              <w:jc w:val="center"/>
            </w:pPr>
            <w:r>
              <w:rPr>
                <w:sz w:val="20"/>
              </w:rPr>
              <w:t>—</w:t>
            </w:r>
          </w:p>
        </w:tc>
        <w:tc>
          <w:tcPr>
            <w:tcW w:w="2835" w:type="dxa"/>
          </w:tcPr>
          <w:p w14:paraId="091B905C">
            <w:pPr>
              <w:ind w:firstLine="400"/>
              <w:jc w:val="center"/>
            </w:pPr>
            <w:r>
              <w:rPr>
                <w:sz w:val="20"/>
              </w:rPr>
              <w:t>EA 参考矩阵实测 22.5 ms（216 无标签试验）；≤32 试验约 3.2 ms</w:t>
            </w:r>
          </w:p>
        </w:tc>
      </w:tr>
      <w:tr w14:paraId="2CE376C8">
        <w:tblPrEx>
          <w:tblCellMar>
            <w:top w:w="0" w:type="dxa"/>
            <w:left w:w="108" w:type="dxa"/>
            <w:bottom w:w="0" w:type="dxa"/>
            <w:right w:w="108" w:type="dxa"/>
          </w:tblCellMar>
        </w:tblPrEx>
        <w:trPr>
          <w:jc w:val="center"/>
        </w:trPr>
        <w:tc>
          <w:tcPr>
            <w:tcW w:w="2835" w:type="dxa"/>
          </w:tcPr>
          <w:p w14:paraId="51FC674C">
            <w:pPr>
              <w:ind w:firstLine="400"/>
              <w:jc w:val="center"/>
            </w:pPr>
            <w:r>
              <w:rPr>
                <w:sz w:val="20"/>
              </w:rPr>
              <w:t>单试验推理时延</w:t>
            </w:r>
          </w:p>
        </w:tc>
        <w:tc>
          <w:tcPr>
            <w:tcW w:w="2835" w:type="dxa"/>
          </w:tcPr>
          <w:p w14:paraId="5B139D36">
            <w:pPr>
              <w:ind w:firstLine="400"/>
              <w:jc w:val="center"/>
            </w:pPr>
            <w:r>
              <w:rPr>
                <w:sz w:val="20"/>
              </w:rPr>
              <w:t>GPU 约 0.15 ms / CPU 约 3.1 ms（4 s 片段）</w:t>
            </w:r>
          </w:p>
        </w:tc>
        <w:tc>
          <w:tcPr>
            <w:tcW w:w="2835" w:type="dxa"/>
          </w:tcPr>
          <w:p w14:paraId="1A82F451">
            <w:pPr>
              <w:ind w:firstLine="400"/>
              <w:jc w:val="center"/>
            </w:pPr>
            <w:r>
              <w:rPr>
                <w:sz w:val="20"/>
              </w:rPr>
              <w:t>同左（同一模型）</w:t>
            </w:r>
          </w:p>
        </w:tc>
      </w:tr>
      <w:tr w14:paraId="585050FE">
        <w:tblPrEx>
          <w:tblCellMar>
            <w:top w:w="0" w:type="dxa"/>
            <w:left w:w="108" w:type="dxa"/>
            <w:bottom w:w="0" w:type="dxa"/>
            <w:right w:w="108" w:type="dxa"/>
          </w:tblCellMar>
        </w:tblPrEx>
        <w:trPr>
          <w:jc w:val="center"/>
        </w:trPr>
        <w:tc>
          <w:tcPr>
            <w:tcW w:w="2835" w:type="dxa"/>
          </w:tcPr>
          <w:p w14:paraId="2D50A8B4">
            <w:pPr>
              <w:ind w:firstLine="400"/>
              <w:jc w:val="center"/>
            </w:pPr>
            <w:r>
              <w:rPr>
                <w:sz w:val="20"/>
              </w:rPr>
              <w:t>对应准确率（实测）</w:t>
            </w:r>
          </w:p>
        </w:tc>
        <w:tc>
          <w:tcPr>
            <w:tcW w:w="2835" w:type="dxa"/>
          </w:tcPr>
          <w:p w14:paraId="0A64D743">
            <w:pPr>
              <w:ind w:firstLine="400"/>
              <w:jc w:val="center"/>
            </w:pPr>
            <w:r>
              <w:rPr>
                <w:sz w:val="20"/>
              </w:rPr>
              <w:t>STFA 56.79±13.05%；EEGNet 35.08±3.87%（T 场校准→E 场测试，9 被试）</w:t>
            </w:r>
          </w:p>
        </w:tc>
        <w:tc>
          <w:tcPr>
            <w:tcW w:w="2835" w:type="dxa"/>
          </w:tcPr>
          <w:p w14:paraId="59A2DEF5">
            <w:pPr>
              <w:ind w:firstLine="400"/>
              <w:jc w:val="center"/>
            </w:pPr>
            <w:r>
              <w:rPr>
                <w:sz w:val="20"/>
              </w:rPr>
              <w:t>LOSO：STFA-DG 51.55±14.89%、STFA 51.57±15.32%、EEGNet 55.73±15.20%</w:t>
            </w:r>
          </w:p>
        </w:tc>
      </w:tr>
    </w:tbl>
    <w:p w14:paraId="1C400102">
      <w:pPr>
        <w:spacing w:after="0"/>
        <w:ind w:firstLine="480"/>
      </w:pPr>
    </w:p>
    <w:p w14:paraId="5E73704F">
      <w:pPr>
        <w:spacing w:line="240" w:lineRule="auto"/>
        <w:ind w:firstLine="480"/>
      </w:pPr>
      <w:r>
        <w:t>解读：①每名新用户上线前的人工耗时，由“约 19 分钟有标签范式 + 最长约 45 s 个性化训练”降为秒级无标签计算（EA 矩阵 22.5 ms），校准环节在流程上被取消；②精度交换比：120 个标签校准的 STFA 为 56.79±13.05%，免校准 STFA-DG 为 51.55±14.89%，即约 19 分钟有标签采集换 5.24 个百分点；③校准规模—精度曲线实测为：60/120/216 个标签试验对应 STFA 50.21%/56.79%/60.55%，即便用完整 T 场 216 个标签（约 33 分钟）亦仅 60.55%；④一个值得注意的反向证据：EEGNet 个体小样本校准（35.08%）反低于其 LOSO 免校准结果（55.73%），说明单人百余样本上的有监督训练不稳定，跨被试共享建模加无标签对齐反而是更稳健的路径。</w:t>
      </w:r>
    </w:p>
    <w:p w14:paraId="0DA86496">
      <w:pPr>
        <w:pStyle w:val="3"/>
        <w:bidi w:val="0"/>
      </w:pPr>
      <w:bookmarkStart w:id="59" w:name="_Toc3883"/>
      <w:bookmarkStart w:id="60" w:name="_Toc10614"/>
      <w:r>
        <w:t>（二）成果展示 1：被试内对比</w:t>
      </w:r>
      <w:bookmarkEnd w:id="59"/>
      <w:bookmarkEnd w:id="60"/>
    </w:p>
    <w:p w14:paraId="102798D3">
      <w:pPr>
        <w:spacing w:line="240" w:lineRule="auto"/>
        <w:ind w:firstLine="480"/>
      </w:pPr>
      <w:r>
        <w:t>实验设置：PyTorch 2 + NVIDIA RTX 4060；Adam（lr=1e-3、weight_decay=1e-4）、余弦退火 100 轮、早停耐心 20、batch size 32；指标含准确率、Macro-F1、参数量与单样本推理时延；对照包括传统机器学习（LR/RF/SVM 加手工时频特征，五折网格调参）与经典轻量网络 EEGNet（2,947 参数）。深度学习模型推理时延于 GPU 实测（STFA-Net CPU 4 线程实测约 3.1 ms/样本），传统机器学习方法为 CPU 实测。</w:t>
      </w:r>
    </w:p>
    <w:p w14:paraId="6DCD8C5C">
      <w:pPr>
        <w:jc w:val="center"/>
      </w:pPr>
      <w:r>
        <w:pict>
          <v:shape id="_x0000_i1035" o:spt="75" type="#_x0000_t75" style="height:166.85pt;width:396pt;" filled="f" o:preferrelative="t" stroked="f" coordsize="21600,21600">
            <v:path/>
            <v:fill on="f" focussize="0,0"/>
            <v:stroke on="f"/>
            <v:imagedata r:id="rId20" o:title=""/>
            <o:lock v:ext="edit" aspectratio="t"/>
            <w10:wrap type="none"/>
            <w10:anchorlock/>
          </v:shape>
        </w:pict>
      </w:r>
    </w:p>
    <w:p w14:paraId="55DF4C10">
      <w:pPr>
        <w:jc w:val="center"/>
      </w:pPr>
      <w:r>
        <w:rPr>
          <w:rFonts w:ascii="宋体" w:hAnsi="宋体" w:eastAsia="宋体"/>
          <w:sz w:val="18"/>
        </w:rPr>
        <w:t>图 0b  多通道 EEG 信号波形与 C3 通道 μ/β 节律功率谱（BCI IV-2a 实测数据）</w:t>
      </w:r>
    </w:p>
    <w:p w14:paraId="5A1E9152">
      <w:pPr>
        <w:ind w:firstLine="422"/>
        <w:jc w:val="center"/>
      </w:pPr>
      <w:r>
        <w:rPr>
          <w:rFonts w:eastAsia="黑体"/>
          <w:b/>
          <w:sz w:val="21"/>
        </w:rPr>
        <w:t>表 4  被试内对比结果（两场次、5 seeds 均值±标准差）</w:t>
      </w:r>
    </w:p>
    <w:tbl>
      <w:tblPr>
        <w:tblStyle w:val="15"/>
        <w:tblW w:w="0" w:type="auto"/>
        <w:jc w:val="center"/>
        <w:tblLayout w:type="autofit"/>
        <w:tblCellMar>
          <w:top w:w="0" w:type="dxa"/>
          <w:left w:w="108" w:type="dxa"/>
          <w:bottom w:w="0" w:type="dxa"/>
          <w:right w:w="108" w:type="dxa"/>
        </w:tblCellMar>
      </w:tblPr>
      <w:tblGrid>
        <w:gridCol w:w="1815"/>
        <w:gridCol w:w="1681"/>
        <w:gridCol w:w="1773"/>
        <w:gridCol w:w="1773"/>
        <w:gridCol w:w="1678"/>
      </w:tblGrid>
      <w:tr w14:paraId="7FF6644B">
        <w:trPr>
          <w:jc w:val="center"/>
        </w:trPr>
        <w:tc>
          <w:tcPr>
            <w:tcW w:w="1701" w:type="dxa"/>
            <w:shd w:val="clear" w:color="auto" w:fill="D9E2F3"/>
          </w:tcPr>
          <w:p w14:paraId="61B9D93E">
            <w:pPr>
              <w:ind w:firstLine="422"/>
              <w:jc w:val="center"/>
            </w:pPr>
            <w:r>
              <w:rPr>
                <w:rFonts w:eastAsia="黑体"/>
                <w:b/>
                <w:sz w:val="21"/>
              </w:rPr>
              <w:t>模型</w:t>
            </w:r>
          </w:p>
        </w:tc>
        <w:tc>
          <w:tcPr>
            <w:tcW w:w="1701" w:type="dxa"/>
            <w:shd w:val="clear" w:color="auto" w:fill="D9E2F3"/>
          </w:tcPr>
          <w:p w14:paraId="31D0134A">
            <w:pPr>
              <w:ind w:firstLine="422"/>
              <w:jc w:val="center"/>
            </w:pPr>
            <w:r>
              <w:rPr>
                <w:rFonts w:eastAsia="黑体"/>
                <w:b/>
                <w:sz w:val="21"/>
              </w:rPr>
              <w:t>参数量</w:t>
            </w:r>
          </w:p>
        </w:tc>
        <w:tc>
          <w:tcPr>
            <w:tcW w:w="1701" w:type="dxa"/>
            <w:shd w:val="clear" w:color="auto" w:fill="D9E2F3"/>
          </w:tcPr>
          <w:p w14:paraId="1680C9B7">
            <w:pPr>
              <w:ind w:firstLine="422"/>
              <w:jc w:val="center"/>
            </w:pPr>
            <w:r>
              <w:rPr>
                <w:rFonts w:eastAsia="黑体"/>
                <w:b/>
                <w:sz w:val="21"/>
              </w:rPr>
              <w:t>Accuracy</w:t>
            </w:r>
          </w:p>
        </w:tc>
        <w:tc>
          <w:tcPr>
            <w:tcW w:w="1701" w:type="dxa"/>
            <w:shd w:val="clear" w:color="auto" w:fill="D9E2F3"/>
          </w:tcPr>
          <w:p w14:paraId="65C71E10">
            <w:pPr>
              <w:ind w:firstLine="422"/>
              <w:jc w:val="center"/>
            </w:pPr>
            <w:r>
              <w:rPr>
                <w:rFonts w:eastAsia="黑体"/>
                <w:b/>
                <w:sz w:val="21"/>
              </w:rPr>
              <w:t>Macro-F1</w:t>
            </w:r>
          </w:p>
        </w:tc>
        <w:tc>
          <w:tcPr>
            <w:tcW w:w="1701" w:type="dxa"/>
            <w:shd w:val="clear" w:color="auto" w:fill="D9E2F3"/>
          </w:tcPr>
          <w:p w14:paraId="22D92893">
            <w:pPr>
              <w:ind w:firstLine="422"/>
              <w:jc w:val="center"/>
            </w:pPr>
            <w:r>
              <w:rPr>
                <w:rFonts w:eastAsia="黑体"/>
                <w:b/>
                <w:sz w:val="21"/>
              </w:rPr>
              <w:t>推理(ms/样本)</w:t>
            </w:r>
          </w:p>
        </w:tc>
      </w:tr>
      <w:tr w14:paraId="3A42251B">
        <w:tblPrEx>
          <w:tblCellMar>
            <w:top w:w="0" w:type="dxa"/>
            <w:left w:w="108" w:type="dxa"/>
            <w:bottom w:w="0" w:type="dxa"/>
            <w:right w:w="108" w:type="dxa"/>
          </w:tblCellMar>
        </w:tblPrEx>
        <w:trPr>
          <w:jc w:val="center"/>
        </w:trPr>
        <w:tc>
          <w:tcPr>
            <w:tcW w:w="1701" w:type="dxa"/>
          </w:tcPr>
          <w:p w14:paraId="2A7289BC">
            <w:pPr>
              <w:ind w:firstLine="400"/>
              <w:jc w:val="center"/>
            </w:pPr>
            <w:r>
              <w:rPr>
                <w:sz w:val="20"/>
              </w:rPr>
              <w:t>RF（手工特征）</w:t>
            </w:r>
          </w:p>
        </w:tc>
        <w:tc>
          <w:tcPr>
            <w:tcW w:w="1701" w:type="dxa"/>
          </w:tcPr>
          <w:p w14:paraId="071AA7C6">
            <w:pPr>
              <w:ind w:firstLine="400"/>
              <w:jc w:val="center"/>
            </w:pPr>
            <w:r>
              <w:rPr>
                <w:sz w:val="20"/>
              </w:rPr>
              <w:t>—</w:t>
            </w:r>
          </w:p>
        </w:tc>
        <w:tc>
          <w:tcPr>
            <w:tcW w:w="1701" w:type="dxa"/>
          </w:tcPr>
          <w:p w14:paraId="24A30C6E">
            <w:pPr>
              <w:ind w:firstLine="400"/>
              <w:jc w:val="center"/>
            </w:pPr>
            <w:r>
              <w:rPr>
                <w:sz w:val="20"/>
              </w:rPr>
              <w:t>49.74%</w:t>
            </w:r>
          </w:p>
        </w:tc>
        <w:tc>
          <w:tcPr>
            <w:tcW w:w="1701" w:type="dxa"/>
          </w:tcPr>
          <w:p w14:paraId="1E20A5F7">
            <w:pPr>
              <w:ind w:firstLine="400"/>
              <w:jc w:val="center"/>
            </w:pPr>
            <w:r>
              <w:rPr>
                <w:sz w:val="20"/>
              </w:rPr>
              <w:t>49.80%</w:t>
            </w:r>
          </w:p>
        </w:tc>
        <w:tc>
          <w:tcPr>
            <w:tcW w:w="1701" w:type="dxa"/>
          </w:tcPr>
          <w:p w14:paraId="658BAB93">
            <w:pPr>
              <w:ind w:firstLine="400"/>
              <w:jc w:val="center"/>
            </w:pPr>
            <w:r>
              <w:rPr>
                <w:sz w:val="20"/>
              </w:rPr>
              <w:t>0.029</w:t>
            </w:r>
          </w:p>
        </w:tc>
      </w:tr>
      <w:tr w14:paraId="10919A3E">
        <w:tblPrEx>
          <w:tblCellMar>
            <w:top w:w="0" w:type="dxa"/>
            <w:left w:w="108" w:type="dxa"/>
            <w:bottom w:w="0" w:type="dxa"/>
            <w:right w:w="108" w:type="dxa"/>
          </w:tblCellMar>
        </w:tblPrEx>
        <w:trPr>
          <w:jc w:val="center"/>
        </w:trPr>
        <w:tc>
          <w:tcPr>
            <w:tcW w:w="1701" w:type="dxa"/>
          </w:tcPr>
          <w:p w14:paraId="16965C92">
            <w:pPr>
              <w:ind w:firstLine="400"/>
              <w:jc w:val="center"/>
            </w:pPr>
            <w:r>
              <w:rPr>
                <w:sz w:val="20"/>
              </w:rPr>
              <w:t>SVM（手工特征）</w:t>
            </w:r>
          </w:p>
        </w:tc>
        <w:tc>
          <w:tcPr>
            <w:tcW w:w="1701" w:type="dxa"/>
          </w:tcPr>
          <w:p w14:paraId="216A05C3">
            <w:pPr>
              <w:ind w:firstLine="400"/>
              <w:jc w:val="center"/>
            </w:pPr>
            <w:r>
              <w:rPr>
                <w:sz w:val="20"/>
              </w:rPr>
              <w:t>—</w:t>
            </w:r>
          </w:p>
        </w:tc>
        <w:tc>
          <w:tcPr>
            <w:tcW w:w="1701" w:type="dxa"/>
          </w:tcPr>
          <w:p w14:paraId="7B6BD092">
            <w:pPr>
              <w:ind w:firstLine="400"/>
              <w:jc w:val="center"/>
            </w:pPr>
            <w:r>
              <w:rPr>
                <w:sz w:val="20"/>
              </w:rPr>
              <w:t>51.29%</w:t>
            </w:r>
          </w:p>
        </w:tc>
        <w:tc>
          <w:tcPr>
            <w:tcW w:w="1701" w:type="dxa"/>
          </w:tcPr>
          <w:p w14:paraId="722D5CDC">
            <w:pPr>
              <w:ind w:firstLine="400"/>
              <w:jc w:val="center"/>
            </w:pPr>
            <w:r>
              <w:rPr>
                <w:sz w:val="20"/>
              </w:rPr>
              <w:t>51.35%</w:t>
            </w:r>
          </w:p>
        </w:tc>
        <w:tc>
          <w:tcPr>
            <w:tcW w:w="1701" w:type="dxa"/>
          </w:tcPr>
          <w:p w14:paraId="51504C72">
            <w:pPr>
              <w:ind w:firstLine="400"/>
              <w:jc w:val="center"/>
            </w:pPr>
            <w:r>
              <w:rPr>
                <w:sz w:val="20"/>
              </w:rPr>
              <w:t>0.121</w:t>
            </w:r>
          </w:p>
        </w:tc>
      </w:tr>
      <w:tr w14:paraId="5829907C">
        <w:tblPrEx>
          <w:tblCellMar>
            <w:top w:w="0" w:type="dxa"/>
            <w:left w:w="108" w:type="dxa"/>
            <w:bottom w:w="0" w:type="dxa"/>
            <w:right w:w="108" w:type="dxa"/>
          </w:tblCellMar>
        </w:tblPrEx>
        <w:trPr>
          <w:jc w:val="center"/>
        </w:trPr>
        <w:tc>
          <w:tcPr>
            <w:tcW w:w="1701" w:type="dxa"/>
          </w:tcPr>
          <w:p w14:paraId="3CD6F46C">
            <w:pPr>
              <w:ind w:firstLine="400"/>
              <w:jc w:val="center"/>
            </w:pPr>
            <w:r>
              <w:rPr>
                <w:sz w:val="20"/>
              </w:rPr>
              <w:t>LR（手工特征）</w:t>
            </w:r>
          </w:p>
        </w:tc>
        <w:tc>
          <w:tcPr>
            <w:tcW w:w="1701" w:type="dxa"/>
          </w:tcPr>
          <w:p w14:paraId="1D6B9A0B">
            <w:pPr>
              <w:ind w:firstLine="400"/>
              <w:jc w:val="center"/>
            </w:pPr>
            <w:r>
              <w:rPr>
                <w:sz w:val="20"/>
              </w:rPr>
              <w:t>—</w:t>
            </w:r>
          </w:p>
        </w:tc>
        <w:tc>
          <w:tcPr>
            <w:tcW w:w="1701" w:type="dxa"/>
          </w:tcPr>
          <w:p w14:paraId="4401646C">
            <w:pPr>
              <w:ind w:firstLine="400"/>
              <w:jc w:val="center"/>
            </w:pPr>
            <w:r>
              <w:rPr>
                <w:sz w:val="20"/>
              </w:rPr>
              <w:t>48.97%</w:t>
            </w:r>
          </w:p>
        </w:tc>
        <w:tc>
          <w:tcPr>
            <w:tcW w:w="1701" w:type="dxa"/>
          </w:tcPr>
          <w:p w14:paraId="04766791">
            <w:pPr>
              <w:ind w:firstLine="400"/>
              <w:jc w:val="center"/>
            </w:pPr>
            <w:r>
              <w:rPr>
                <w:sz w:val="20"/>
              </w:rPr>
              <w:t>49.08%</w:t>
            </w:r>
          </w:p>
        </w:tc>
        <w:tc>
          <w:tcPr>
            <w:tcW w:w="1701" w:type="dxa"/>
          </w:tcPr>
          <w:p w14:paraId="4D6FE178">
            <w:pPr>
              <w:ind w:firstLine="400"/>
              <w:jc w:val="center"/>
            </w:pPr>
            <w:r>
              <w:rPr>
                <w:sz w:val="20"/>
              </w:rPr>
              <w:t>0.002</w:t>
            </w:r>
          </w:p>
        </w:tc>
      </w:tr>
      <w:tr w14:paraId="72F8D4D9">
        <w:tblPrEx>
          <w:tblCellMar>
            <w:top w:w="0" w:type="dxa"/>
            <w:left w:w="108" w:type="dxa"/>
            <w:bottom w:w="0" w:type="dxa"/>
            <w:right w:w="108" w:type="dxa"/>
          </w:tblCellMar>
        </w:tblPrEx>
        <w:trPr>
          <w:jc w:val="center"/>
        </w:trPr>
        <w:tc>
          <w:tcPr>
            <w:tcW w:w="1701" w:type="dxa"/>
          </w:tcPr>
          <w:p w14:paraId="4D98C15C">
            <w:pPr>
              <w:ind w:firstLine="400"/>
              <w:jc w:val="center"/>
            </w:pPr>
            <w:r>
              <w:rPr>
                <w:sz w:val="20"/>
              </w:rPr>
              <w:t>EEGNet</w:t>
            </w:r>
          </w:p>
        </w:tc>
        <w:tc>
          <w:tcPr>
            <w:tcW w:w="1701" w:type="dxa"/>
          </w:tcPr>
          <w:p w14:paraId="783EB7DE">
            <w:pPr>
              <w:ind w:firstLine="400"/>
              <w:jc w:val="center"/>
            </w:pPr>
            <w:r>
              <w:rPr>
                <w:sz w:val="20"/>
              </w:rPr>
              <w:t>2947</w:t>
            </w:r>
          </w:p>
        </w:tc>
        <w:tc>
          <w:tcPr>
            <w:tcW w:w="1701" w:type="dxa"/>
          </w:tcPr>
          <w:p w14:paraId="1920AA80">
            <w:pPr>
              <w:ind w:firstLine="400"/>
              <w:jc w:val="center"/>
            </w:pPr>
            <w:r>
              <w:rPr>
                <w:sz w:val="20"/>
              </w:rPr>
              <w:t>63.26±1.64%</w:t>
            </w:r>
          </w:p>
        </w:tc>
        <w:tc>
          <w:tcPr>
            <w:tcW w:w="1701" w:type="dxa"/>
          </w:tcPr>
          <w:p w14:paraId="1539A4E1">
            <w:pPr>
              <w:ind w:firstLine="400"/>
              <w:jc w:val="center"/>
            </w:pPr>
            <w:r>
              <w:rPr>
                <w:sz w:val="20"/>
              </w:rPr>
              <w:t>62.75±1.77%</w:t>
            </w:r>
          </w:p>
        </w:tc>
        <w:tc>
          <w:tcPr>
            <w:tcW w:w="1701" w:type="dxa"/>
          </w:tcPr>
          <w:p w14:paraId="5F76FDF0">
            <w:pPr>
              <w:ind w:firstLine="400"/>
              <w:jc w:val="center"/>
            </w:pPr>
            <w:r>
              <w:rPr>
                <w:sz w:val="20"/>
              </w:rPr>
              <w:t>0.016</w:t>
            </w:r>
          </w:p>
        </w:tc>
      </w:tr>
      <w:tr w14:paraId="55EA9A39">
        <w:tblPrEx>
          <w:tblCellMar>
            <w:top w:w="0" w:type="dxa"/>
            <w:left w:w="108" w:type="dxa"/>
            <w:bottom w:w="0" w:type="dxa"/>
            <w:right w:w="108" w:type="dxa"/>
          </w:tblCellMar>
        </w:tblPrEx>
        <w:trPr>
          <w:jc w:val="center"/>
        </w:trPr>
        <w:tc>
          <w:tcPr>
            <w:tcW w:w="1701" w:type="dxa"/>
          </w:tcPr>
          <w:p w14:paraId="4F0A81EA">
            <w:pPr>
              <w:ind w:firstLine="400"/>
              <w:jc w:val="center"/>
            </w:pPr>
            <w:r>
              <w:rPr>
                <w:sz w:val="20"/>
              </w:rPr>
              <w:t>STFA-Net</w:t>
            </w:r>
          </w:p>
        </w:tc>
        <w:tc>
          <w:tcPr>
            <w:tcW w:w="1701" w:type="dxa"/>
          </w:tcPr>
          <w:p w14:paraId="6126DC3A">
            <w:pPr>
              <w:ind w:firstLine="400"/>
              <w:jc w:val="center"/>
            </w:pPr>
            <w:r>
              <w:rPr>
                <w:sz w:val="20"/>
              </w:rPr>
              <w:t>13469</w:t>
            </w:r>
          </w:p>
        </w:tc>
        <w:tc>
          <w:tcPr>
            <w:tcW w:w="1701" w:type="dxa"/>
          </w:tcPr>
          <w:p w14:paraId="2ADB7E54">
            <w:pPr>
              <w:ind w:firstLine="400"/>
              <w:jc w:val="center"/>
            </w:pPr>
            <w:r>
              <w:rPr>
                <w:sz w:val="20"/>
              </w:rPr>
              <w:t>66.02±1.22%</w:t>
            </w:r>
          </w:p>
        </w:tc>
        <w:tc>
          <w:tcPr>
            <w:tcW w:w="1701" w:type="dxa"/>
          </w:tcPr>
          <w:p w14:paraId="418A2D83">
            <w:pPr>
              <w:ind w:firstLine="400"/>
              <w:jc w:val="center"/>
            </w:pPr>
            <w:r>
              <w:rPr>
                <w:sz w:val="20"/>
              </w:rPr>
              <w:t>65.84±1.31%</w:t>
            </w:r>
          </w:p>
        </w:tc>
        <w:tc>
          <w:tcPr>
            <w:tcW w:w="1701" w:type="dxa"/>
          </w:tcPr>
          <w:p w14:paraId="6D00E1FD">
            <w:pPr>
              <w:ind w:firstLine="400"/>
              <w:jc w:val="center"/>
            </w:pPr>
            <w:r>
              <w:rPr>
                <w:sz w:val="20"/>
              </w:rPr>
              <w:t>0.153</w:t>
            </w:r>
          </w:p>
        </w:tc>
      </w:tr>
      <w:tr w14:paraId="3C0B126B">
        <w:tblPrEx>
          <w:tblCellMar>
            <w:top w:w="0" w:type="dxa"/>
            <w:left w:w="108" w:type="dxa"/>
            <w:bottom w:w="0" w:type="dxa"/>
            <w:right w:w="108" w:type="dxa"/>
          </w:tblCellMar>
        </w:tblPrEx>
        <w:trPr>
          <w:jc w:val="center"/>
        </w:trPr>
        <w:tc>
          <w:tcPr>
            <w:tcW w:w="1701" w:type="dxa"/>
          </w:tcPr>
          <w:p w14:paraId="242B6B87">
            <w:pPr>
              <w:ind w:firstLine="400"/>
              <w:jc w:val="center"/>
            </w:pPr>
            <w:r>
              <w:rPr>
                <w:sz w:val="20"/>
              </w:rPr>
              <w:t>STFA-DGNet</w:t>
            </w:r>
          </w:p>
        </w:tc>
        <w:tc>
          <w:tcPr>
            <w:tcW w:w="1701" w:type="dxa"/>
          </w:tcPr>
          <w:p w14:paraId="30C8E652">
            <w:pPr>
              <w:ind w:firstLine="400"/>
              <w:jc w:val="center"/>
            </w:pPr>
            <w:r>
              <w:rPr>
                <w:sz w:val="20"/>
              </w:rPr>
              <w:t>18214</w:t>
            </w:r>
          </w:p>
        </w:tc>
        <w:tc>
          <w:tcPr>
            <w:tcW w:w="1701" w:type="dxa"/>
          </w:tcPr>
          <w:p w14:paraId="2638AE2F">
            <w:pPr>
              <w:ind w:firstLine="400"/>
              <w:jc w:val="center"/>
            </w:pPr>
            <w:r>
              <w:rPr>
                <w:sz w:val="20"/>
              </w:rPr>
              <w:t>64.34±2.97%</w:t>
            </w:r>
          </w:p>
        </w:tc>
        <w:tc>
          <w:tcPr>
            <w:tcW w:w="1701" w:type="dxa"/>
          </w:tcPr>
          <w:p w14:paraId="677F051B">
            <w:pPr>
              <w:ind w:firstLine="400"/>
              <w:jc w:val="center"/>
            </w:pPr>
            <w:r>
              <w:rPr>
                <w:sz w:val="20"/>
              </w:rPr>
              <w:t>64.06±3.15%</w:t>
            </w:r>
          </w:p>
        </w:tc>
        <w:tc>
          <w:tcPr>
            <w:tcW w:w="1701" w:type="dxa"/>
          </w:tcPr>
          <w:p w14:paraId="0EF3DA51">
            <w:pPr>
              <w:ind w:firstLine="400"/>
              <w:jc w:val="center"/>
            </w:pPr>
            <w:r>
              <w:rPr>
                <w:sz w:val="20"/>
              </w:rPr>
              <w:t>0.160</w:t>
            </w:r>
          </w:p>
        </w:tc>
      </w:tr>
    </w:tbl>
    <w:p w14:paraId="0FCE672B">
      <w:pPr>
        <w:spacing w:after="0"/>
        <w:ind w:firstLine="480"/>
      </w:pPr>
    </w:p>
    <w:p w14:paraId="7C589D5B">
      <w:pPr>
        <w:spacing w:line="240" w:lineRule="auto"/>
        <w:ind w:firstLine="480"/>
      </w:pPr>
      <w:r>
        <w:t>STFA-Net 较传统机器学习方法高 14.7–17.0 个百分点，较 EEGNet 高 2.76 个百分点，Macro-F1 同步领先（表 4、图 5 左）。</w:t>
      </w:r>
    </w:p>
    <w:p w14:paraId="6E99A9DC">
      <w:pPr>
        <w:pStyle w:val="3"/>
        <w:bidi w:val="0"/>
      </w:pPr>
      <w:bookmarkStart w:id="61" w:name="_Toc775"/>
      <w:bookmarkStart w:id="62" w:name="_Toc16872"/>
      <w:r>
        <w:t>（三）成果展示 2：消融实验</w:t>
      </w:r>
      <w:bookmarkEnd w:id="61"/>
      <w:bookmarkEnd w:id="62"/>
    </w:p>
    <w:p w14:paraId="18165C3A">
      <w:pPr>
        <w:ind w:firstLine="422"/>
        <w:jc w:val="center"/>
      </w:pPr>
      <w:r>
        <w:rPr>
          <w:rFonts w:eastAsia="黑体"/>
          <w:b/>
          <w:sz w:val="21"/>
        </w:rPr>
        <w:t>表 5  消融实验结果（5 seeds 均值±标准差）</w:t>
      </w:r>
    </w:p>
    <w:tbl>
      <w:tblPr>
        <w:tblStyle w:val="15"/>
        <w:tblW w:w="0" w:type="auto"/>
        <w:jc w:val="center"/>
        <w:tblLayout w:type="autofit"/>
        <w:tblCellMar>
          <w:top w:w="0" w:type="dxa"/>
          <w:left w:w="108" w:type="dxa"/>
          <w:bottom w:w="0" w:type="dxa"/>
          <w:right w:w="108" w:type="dxa"/>
        </w:tblCellMar>
      </w:tblPr>
      <w:tblGrid>
        <w:gridCol w:w="1701"/>
        <w:gridCol w:w="1701"/>
        <w:gridCol w:w="1773"/>
        <w:gridCol w:w="1701"/>
        <w:gridCol w:w="1773"/>
      </w:tblGrid>
      <w:tr w14:paraId="16B9616D">
        <w:tblPrEx>
          <w:tblCellMar>
            <w:top w:w="0" w:type="dxa"/>
            <w:left w:w="108" w:type="dxa"/>
            <w:bottom w:w="0" w:type="dxa"/>
            <w:right w:w="108" w:type="dxa"/>
          </w:tblCellMar>
        </w:tblPrEx>
        <w:trPr>
          <w:jc w:val="center"/>
        </w:trPr>
        <w:tc>
          <w:tcPr>
            <w:tcW w:w="1701" w:type="dxa"/>
            <w:shd w:val="clear" w:color="auto" w:fill="D9E2F3"/>
          </w:tcPr>
          <w:p w14:paraId="2CDCE7ED">
            <w:pPr>
              <w:ind w:firstLine="422"/>
              <w:jc w:val="center"/>
            </w:pPr>
            <w:r>
              <w:rPr>
                <w:rFonts w:eastAsia="黑体"/>
                <w:b/>
                <w:sz w:val="21"/>
              </w:rPr>
              <w:t>配置</w:t>
            </w:r>
          </w:p>
        </w:tc>
        <w:tc>
          <w:tcPr>
            <w:tcW w:w="1701" w:type="dxa"/>
            <w:shd w:val="clear" w:color="auto" w:fill="D9E2F3"/>
          </w:tcPr>
          <w:p w14:paraId="31BA342F">
            <w:pPr>
              <w:ind w:firstLine="422"/>
              <w:jc w:val="center"/>
            </w:pPr>
            <w:r>
              <w:rPr>
                <w:rFonts w:eastAsia="黑体"/>
                <w:b/>
                <w:sz w:val="21"/>
              </w:rPr>
              <w:t>参数量</w:t>
            </w:r>
          </w:p>
        </w:tc>
        <w:tc>
          <w:tcPr>
            <w:tcW w:w="1701" w:type="dxa"/>
            <w:shd w:val="clear" w:color="auto" w:fill="D9E2F3"/>
          </w:tcPr>
          <w:p w14:paraId="4F70B4AF">
            <w:pPr>
              <w:ind w:firstLine="422"/>
              <w:jc w:val="center"/>
            </w:pPr>
            <w:r>
              <w:rPr>
                <w:rFonts w:eastAsia="黑体"/>
                <w:b/>
                <w:sz w:val="21"/>
              </w:rPr>
              <w:t>Accuracy</w:t>
            </w:r>
          </w:p>
        </w:tc>
        <w:tc>
          <w:tcPr>
            <w:tcW w:w="1701" w:type="dxa"/>
            <w:shd w:val="clear" w:color="auto" w:fill="D9E2F3"/>
          </w:tcPr>
          <w:p w14:paraId="31D06D99">
            <w:pPr>
              <w:ind w:firstLine="422"/>
              <w:jc w:val="center"/>
            </w:pPr>
            <w:r>
              <w:rPr>
                <w:rFonts w:eastAsia="黑体"/>
                <w:b/>
                <w:sz w:val="21"/>
              </w:rPr>
              <w:t>Δ</w:t>
            </w:r>
          </w:p>
        </w:tc>
        <w:tc>
          <w:tcPr>
            <w:tcW w:w="1701" w:type="dxa"/>
            <w:shd w:val="clear" w:color="auto" w:fill="D9E2F3"/>
          </w:tcPr>
          <w:p w14:paraId="24096020">
            <w:pPr>
              <w:ind w:firstLine="422"/>
              <w:jc w:val="center"/>
            </w:pPr>
            <w:r>
              <w:rPr>
                <w:rFonts w:eastAsia="黑体"/>
                <w:b/>
                <w:sz w:val="21"/>
              </w:rPr>
              <w:t>Macro-F1</w:t>
            </w:r>
          </w:p>
        </w:tc>
      </w:tr>
      <w:tr w14:paraId="0937B6A7">
        <w:tblPrEx>
          <w:tblCellMar>
            <w:top w:w="0" w:type="dxa"/>
            <w:left w:w="108" w:type="dxa"/>
            <w:bottom w:w="0" w:type="dxa"/>
            <w:right w:w="108" w:type="dxa"/>
          </w:tblCellMar>
        </w:tblPrEx>
        <w:trPr>
          <w:jc w:val="center"/>
        </w:trPr>
        <w:tc>
          <w:tcPr>
            <w:tcW w:w="1701" w:type="dxa"/>
          </w:tcPr>
          <w:p w14:paraId="60DB561B">
            <w:pPr>
              <w:ind w:firstLine="400"/>
              <w:jc w:val="center"/>
            </w:pPr>
            <w:r>
              <w:rPr>
                <w:sz w:val="20"/>
              </w:rPr>
              <w:t>完整模型</w:t>
            </w:r>
          </w:p>
        </w:tc>
        <w:tc>
          <w:tcPr>
            <w:tcW w:w="1701" w:type="dxa"/>
          </w:tcPr>
          <w:p w14:paraId="59833CE6">
            <w:pPr>
              <w:ind w:firstLine="400"/>
              <w:jc w:val="center"/>
            </w:pPr>
            <w:r>
              <w:rPr>
                <w:sz w:val="20"/>
              </w:rPr>
              <w:t>13469</w:t>
            </w:r>
          </w:p>
        </w:tc>
        <w:tc>
          <w:tcPr>
            <w:tcW w:w="1701" w:type="dxa"/>
          </w:tcPr>
          <w:p w14:paraId="1AC41D65">
            <w:pPr>
              <w:ind w:firstLine="400"/>
              <w:jc w:val="center"/>
            </w:pPr>
            <w:r>
              <w:rPr>
                <w:sz w:val="20"/>
              </w:rPr>
              <w:t>63.39±2.60%</w:t>
            </w:r>
          </w:p>
        </w:tc>
        <w:tc>
          <w:tcPr>
            <w:tcW w:w="1701" w:type="dxa"/>
          </w:tcPr>
          <w:p w14:paraId="70A87D5C">
            <w:pPr>
              <w:ind w:firstLine="400"/>
              <w:jc w:val="center"/>
            </w:pPr>
            <w:r>
              <w:rPr>
                <w:sz w:val="20"/>
              </w:rPr>
              <w:t>—</w:t>
            </w:r>
          </w:p>
        </w:tc>
        <w:tc>
          <w:tcPr>
            <w:tcW w:w="1701" w:type="dxa"/>
          </w:tcPr>
          <w:p w14:paraId="0ADE322E">
            <w:pPr>
              <w:ind w:firstLine="400"/>
              <w:jc w:val="center"/>
            </w:pPr>
            <w:r>
              <w:rPr>
                <w:sz w:val="20"/>
              </w:rPr>
              <w:t>63.35±2.59%</w:t>
            </w:r>
          </w:p>
        </w:tc>
      </w:tr>
      <w:tr w14:paraId="78806725">
        <w:tblPrEx>
          <w:tblCellMar>
            <w:top w:w="0" w:type="dxa"/>
            <w:left w:w="108" w:type="dxa"/>
            <w:bottom w:w="0" w:type="dxa"/>
            <w:right w:w="108" w:type="dxa"/>
          </w:tblCellMar>
        </w:tblPrEx>
        <w:trPr>
          <w:jc w:val="center"/>
        </w:trPr>
        <w:tc>
          <w:tcPr>
            <w:tcW w:w="1701" w:type="dxa"/>
          </w:tcPr>
          <w:p w14:paraId="3966D107">
            <w:pPr>
              <w:ind w:firstLine="400"/>
              <w:jc w:val="center"/>
            </w:pPr>
            <w:r>
              <w:rPr>
                <w:sz w:val="20"/>
              </w:rPr>
              <w:t>去多尺度时间卷积</w:t>
            </w:r>
          </w:p>
        </w:tc>
        <w:tc>
          <w:tcPr>
            <w:tcW w:w="1701" w:type="dxa"/>
          </w:tcPr>
          <w:p w14:paraId="386DC166">
            <w:pPr>
              <w:ind w:firstLine="400"/>
              <w:jc w:val="center"/>
            </w:pPr>
            <w:r>
              <w:rPr>
                <w:sz w:val="20"/>
              </w:rPr>
              <w:t>9013</w:t>
            </w:r>
          </w:p>
        </w:tc>
        <w:tc>
          <w:tcPr>
            <w:tcW w:w="1701" w:type="dxa"/>
          </w:tcPr>
          <w:p w14:paraId="65A1474F">
            <w:pPr>
              <w:ind w:firstLine="400"/>
              <w:jc w:val="center"/>
            </w:pPr>
            <w:r>
              <w:rPr>
                <w:sz w:val="20"/>
              </w:rPr>
              <w:t>62.39±2.45%</w:t>
            </w:r>
          </w:p>
        </w:tc>
        <w:tc>
          <w:tcPr>
            <w:tcW w:w="1701" w:type="dxa"/>
          </w:tcPr>
          <w:p w14:paraId="7739990F">
            <w:pPr>
              <w:ind w:firstLine="400"/>
              <w:jc w:val="center"/>
            </w:pPr>
            <w:r>
              <w:rPr>
                <w:sz w:val="20"/>
              </w:rPr>
              <w:t>-1.00</w:t>
            </w:r>
          </w:p>
        </w:tc>
        <w:tc>
          <w:tcPr>
            <w:tcW w:w="1701" w:type="dxa"/>
          </w:tcPr>
          <w:p w14:paraId="77B1BBD9">
            <w:pPr>
              <w:ind w:firstLine="400"/>
              <w:jc w:val="center"/>
            </w:pPr>
            <w:r>
              <w:rPr>
                <w:sz w:val="20"/>
              </w:rPr>
              <w:t>62.22±2.53%</w:t>
            </w:r>
          </w:p>
        </w:tc>
      </w:tr>
      <w:tr w14:paraId="51FB66ED">
        <w:tblPrEx>
          <w:tblCellMar>
            <w:top w:w="0" w:type="dxa"/>
            <w:left w:w="108" w:type="dxa"/>
            <w:bottom w:w="0" w:type="dxa"/>
            <w:right w:w="108" w:type="dxa"/>
          </w:tblCellMar>
        </w:tblPrEx>
        <w:trPr>
          <w:jc w:val="center"/>
        </w:trPr>
        <w:tc>
          <w:tcPr>
            <w:tcW w:w="1701" w:type="dxa"/>
          </w:tcPr>
          <w:p w14:paraId="7101E542">
            <w:pPr>
              <w:ind w:firstLine="400"/>
              <w:jc w:val="center"/>
            </w:pPr>
            <w:r>
              <w:rPr>
                <w:sz w:val="20"/>
              </w:rPr>
              <w:t>去空间深度卷积</w:t>
            </w:r>
          </w:p>
        </w:tc>
        <w:tc>
          <w:tcPr>
            <w:tcW w:w="1701" w:type="dxa"/>
          </w:tcPr>
          <w:p w14:paraId="70C507B0">
            <w:pPr>
              <w:ind w:firstLine="400"/>
              <w:jc w:val="center"/>
            </w:pPr>
            <w:r>
              <w:rPr>
                <w:sz w:val="20"/>
              </w:rPr>
              <w:t>9767</w:t>
            </w:r>
          </w:p>
        </w:tc>
        <w:tc>
          <w:tcPr>
            <w:tcW w:w="1701" w:type="dxa"/>
          </w:tcPr>
          <w:p w14:paraId="51C4EEBC">
            <w:pPr>
              <w:ind w:firstLine="400"/>
              <w:jc w:val="center"/>
            </w:pPr>
            <w:r>
              <w:rPr>
                <w:sz w:val="20"/>
              </w:rPr>
              <w:t>45.68±3.80%</w:t>
            </w:r>
          </w:p>
        </w:tc>
        <w:tc>
          <w:tcPr>
            <w:tcW w:w="1701" w:type="dxa"/>
          </w:tcPr>
          <w:p w14:paraId="0B078F9F">
            <w:pPr>
              <w:ind w:firstLine="400"/>
              <w:jc w:val="center"/>
            </w:pPr>
            <w:r>
              <w:rPr>
                <w:sz w:val="20"/>
              </w:rPr>
              <w:t>-17.71</w:t>
            </w:r>
          </w:p>
        </w:tc>
        <w:tc>
          <w:tcPr>
            <w:tcW w:w="1701" w:type="dxa"/>
          </w:tcPr>
          <w:p w14:paraId="3C1D7AC3">
            <w:pPr>
              <w:ind w:firstLine="400"/>
              <w:jc w:val="center"/>
            </w:pPr>
            <w:r>
              <w:rPr>
                <w:sz w:val="20"/>
              </w:rPr>
              <w:t>41.52±6.90%</w:t>
            </w:r>
          </w:p>
        </w:tc>
      </w:tr>
      <w:tr w14:paraId="5201C1DF">
        <w:tblPrEx>
          <w:tblCellMar>
            <w:top w:w="0" w:type="dxa"/>
            <w:left w:w="108" w:type="dxa"/>
            <w:bottom w:w="0" w:type="dxa"/>
            <w:right w:w="108" w:type="dxa"/>
          </w:tblCellMar>
        </w:tblPrEx>
        <w:trPr>
          <w:jc w:val="center"/>
        </w:trPr>
        <w:tc>
          <w:tcPr>
            <w:tcW w:w="1701" w:type="dxa"/>
          </w:tcPr>
          <w:p w14:paraId="34A87501">
            <w:pPr>
              <w:ind w:firstLine="400"/>
              <w:jc w:val="center"/>
            </w:pPr>
            <w:r>
              <w:rPr>
                <w:sz w:val="20"/>
              </w:rPr>
              <w:t>去频域分支</w:t>
            </w:r>
          </w:p>
        </w:tc>
        <w:tc>
          <w:tcPr>
            <w:tcW w:w="1701" w:type="dxa"/>
          </w:tcPr>
          <w:p w14:paraId="3D9D7836">
            <w:pPr>
              <w:ind w:firstLine="400"/>
              <w:jc w:val="center"/>
            </w:pPr>
            <w:r>
              <w:rPr>
                <w:sz w:val="20"/>
              </w:rPr>
              <w:t>9179</w:t>
            </w:r>
          </w:p>
        </w:tc>
        <w:tc>
          <w:tcPr>
            <w:tcW w:w="1701" w:type="dxa"/>
          </w:tcPr>
          <w:p w14:paraId="5D198915">
            <w:pPr>
              <w:ind w:firstLine="400"/>
              <w:jc w:val="center"/>
            </w:pPr>
            <w:r>
              <w:rPr>
                <w:sz w:val="20"/>
              </w:rPr>
              <w:t>65.40±1.15%</w:t>
            </w:r>
          </w:p>
        </w:tc>
        <w:tc>
          <w:tcPr>
            <w:tcW w:w="1701" w:type="dxa"/>
          </w:tcPr>
          <w:p w14:paraId="37ACBFD3">
            <w:pPr>
              <w:ind w:firstLine="400"/>
              <w:jc w:val="center"/>
            </w:pPr>
            <w:r>
              <w:rPr>
                <w:sz w:val="20"/>
              </w:rPr>
              <w:t>+2.01</w:t>
            </w:r>
          </w:p>
        </w:tc>
        <w:tc>
          <w:tcPr>
            <w:tcW w:w="1701" w:type="dxa"/>
          </w:tcPr>
          <w:p w14:paraId="7947C948">
            <w:pPr>
              <w:ind w:firstLine="400"/>
              <w:jc w:val="center"/>
            </w:pPr>
            <w:r>
              <w:rPr>
                <w:sz w:val="20"/>
              </w:rPr>
              <w:t>65.35±1.16%</w:t>
            </w:r>
          </w:p>
        </w:tc>
      </w:tr>
      <w:tr w14:paraId="6F162F55">
        <w:tblPrEx>
          <w:tblCellMar>
            <w:top w:w="0" w:type="dxa"/>
            <w:left w:w="108" w:type="dxa"/>
            <w:bottom w:w="0" w:type="dxa"/>
            <w:right w:w="108" w:type="dxa"/>
          </w:tblCellMar>
        </w:tblPrEx>
        <w:trPr>
          <w:jc w:val="center"/>
        </w:trPr>
        <w:tc>
          <w:tcPr>
            <w:tcW w:w="1701" w:type="dxa"/>
          </w:tcPr>
          <w:p w14:paraId="28776573">
            <w:pPr>
              <w:ind w:firstLine="400"/>
              <w:jc w:val="center"/>
            </w:pPr>
            <w:r>
              <w:rPr>
                <w:sz w:val="20"/>
              </w:rPr>
              <w:t>去三重注意力</w:t>
            </w:r>
          </w:p>
        </w:tc>
        <w:tc>
          <w:tcPr>
            <w:tcW w:w="1701" w:type="dxa"/>
          </w:tcPr>
          <w:p w14:paraId="077BB3AA">
            <w:pPr>
              <w:ind w:firstLine="400"/>
              <w:jc w:val="center"/>
            </w:pPr>
            <w:r>
              <w:rPr>
                <w:sz w:val="20"/>
              </w:rPr>
              <w:t>11766</w:t>
            </w:r>
          </w:p>
        </w:tc>
        <w:tc>
          <w:tcPr>
            <w:tcW w:w="1701" w:type="dxa"/>
          </w:tcPr>
          <w:p w14:paraId="2FA82DCB">
            <w:pPr>
              <w:ind w:firstLine="400"/>
              <w:jc w:val="center"/>
            </w:pPr>
            <w:r>
              <w:rPr>
                <w:sz w:val="20"/>
              </w:rPr>
              <w:t>64.73±1.21%</w:t>
            </w:r>
          </w:p>
        </w:tc>
        <w:tc>
          <w:tcPr>
            <w:tcW w:w="1701" w:type="dxa"/>
          </w:tcPr>
          <w:p w14:paraId="61F17E97">
            <w:pPr>
              <w:ind w:firstLine="400"/>
              <w:jc w:val="center"/>
            </w:pPr>
            <w:r>
              <w:rPr>
                <w:sz w:val="20"/>
              </w:rPr>
              <w:t>+1.34</w:t>
            </w:r>
          </w:p>
        </w:tc>
        <w:tc>
          <w:tcPr>
            <w:tcW w:w="1701" w:type="dxa"/>
          </w:tcPr>
          <w:p w14:paraId="08924964">
            <w:pPr>
              <w:ind w:firstLine="400"/>
              <w:jc w:val="center"/>
            </w:pPr>
            <w:r>
              <w:rPr>
                <w:sz w:val="20"/>
              </w:rPr>
              <w:t>64.63±1.26%</w:t>
            </w:r>
          </w:p>
        </w:tc>
      </w:tr>
      <w:tr w14:paraId="14A19C76">
        <w:tblPrEx>
          <w:tblCellMar>
            <w:top w:w="0" w:type="dxa"/>
            <w:left w:w="108" w:type="dxa"/>
            <w:bottom w:w="0" w:type="dxa"/>
            <w:right w:w="108" w:type="dxa"/>
          </w:tblCellMar>
        </w:tblPrEx>
        <w:trPr>
          <w:jc w:val="center"/>
        </w:trPr>
        <w:tc>
          <w:tcPr>
            <w:tcW w:w="1701" w:type="dxa"/>
          </w:tcPr>
          <w:p w14:paraId="4122BDF3">
            <w:pPr>
              <w:ind w:firstLine="400"/>
              <w:jc w:val="center"/>
            </w:pPr>
            <w:r>
              <w:rPr>
                <w:sz w:val="20"/>
              </w:rPr>
              <w:t>跨被试对抗参照（GRL）</w:t>
            </w:r>
          </w:p>
        </w:tc>
        <w:tc>
          <w:tcPr>
            <w:tcW w:w="1701" w:type="dxa"/>
          </w:tcPr>
          <w:p w14:paraId="6CDDE6AC">
            <w:pPr>
              <w:ind w:firstLine="400"/>
              <w:jc w:val="center"/>
            </w:pPr>
            <w:r>
              <w:rPr>
                <w:sz w:val="20"/>
              </w:rPr>
              <w:t>18214</w:t>
            </w:r>
          </w:p>
        </w:tc>
        <w:tc>
          <w:tcPr>
            <w:tcW w:w="1701" w:type="dxa"/>
          </w:tcPr>
          <w:p w14:paraId="17E734B2">
            <w:pPr>
              <w:ind w:firstLine="400"/>
              <w:jc w:val="center"/>
            </w:pPr>
            <w:r>
              <w:rPr>
                <w:sz w:val="20"/>
              </w:rPr>
              <w:t>64.70±3.24%</w:t>
            </w:r>
          </w:p>
        </w:tc>
        <w:tc>
          <w:tcPr>
            <w:tcW w:w="1701" w:type="dxa"/>
          </w:tcPr>
          <w:p w14:paraId="1BDD4CD6">
            <w:pPr>
              <w:ind w:firstLine="400"/>
              <w:jc w:val="center"/>
            </w:pPr>
            <w:r>
              <w:rPr>
                <w:sz w:val="20"/>
              </w:rPr>
              <w:t>+1.31</w:t>
            </w:r>
          </w:p>
        </w:tc>
        <w:tc>
          <w:tcPr>
            <w:tcW w:w="1701" w:type="dxa"/>
          </w:tcPr>
          <w:p w14:paraId="13D95BC0">
            <w:pPr>
              <w:ind w:firstLine="400"/>
              <w:jc w:val="center"/>
            </w:pPr>
            <w:r>
              <w:rPr>
                <w:sz w:val="20"/>
              </w:rPr>
              <w:t>64.45±3.53%</w:t>
            </w:r>
          </w:p>
        </w:tc>
      </w:tr>
    </w:tbl>
    <w:p w14:paraId="16FC07D4">
      <w:pPr>
        <w:spacing w:after="0"/>
        <w:ind w:firstLine="480"/>
      </w:pPr>
    </w:p>
    <w:p w14:paraId="5DC502E4">
      <w:pPr>
        <w:spacing w:after="0"/>
        <w:ind w:firstLine="480"/>
        <w:jc w:val="center"/>
      </w:pPr>
      <w:r>
        <w:pict>
          <v:shape id="_x0000_i1032" o:spt="75" type="#_x0000_t75" style="height:156.25pt;width:425.15pt;" filled="f" o:preferrelative="t" stroked="f" coordsize="21600,21600">
            <v:path/>
            <v:fill on="f" focussize="0,0"/>
            <v:stroke on="f"/>
            <v:imagedata r:id="rId21" o:title=""/>
            <o:lock v:ext="edit" aspectratio="t"/>
            <w10:wrap type="none"/>
            <w10:anchorlock/>
          </v:shape>
        </w:pict>
      </w:r>
    </w:p>
    <w:p w14:paraId="6A0CCB7A">
      <w:pPr>
        <w:ind w:firstLine="420"/>
        <w:jc w:val="center"/>
      </w:pPr>
      <w:r>
        <w:rPr>
          <w:rFonts w:eastAsia="楷体"/>
          <w:sz w:val="21"/>
        </w:rPr>
        <w:t>图 5  被试内对比（左）与消融实验（右）结果（5 seeds）</w:t>
      </w:r>
    </w:p>
    <w:p w14:paraId="07E701AF">
      <w:pPr>
        <w:spacing w:line="240" w:lineRule="auto"/>
        <w:ind w:firstLine="480"/>
      </w:pPr>
      <w:r>
        <w:t>结论：①空间深度卷积为硬依赖，移除后准确率下降 17.71 个百分点、Macro-F1 下降 21.83 个百分点，与“感觉运动区空间模式是 MI 判别主体”的学科先验一致；②多尺度时间卷积为弱贡献（移除降 1.00 个百分点）；③注意力与频域分支在当前数据规模下无正向增益，移除后精度反升且方差更小——这一现象与门控 α 实测值相互印证。④末行 GRL 为跨被试对抗参照配置（非模块消融），其被试内精度与完整模型相当，是否有效须由表 6 的留一被试对照裁决。</w:t>
      </w:r>
    </w:p>
    <w:p w14:paraId="44383B70">
      <w:pPr>
        <w:pStyle w:val="3"/>
        <w:bidi w:val="0"/>
      </w:pPr>
      <w:bookmarkStart w:id="63" w:name="_Toc29573"/>
      <w:bookmarkStart w:id="64" w:name="_Toc24997"/>
      <w:r>
        <w:t xml:space="preserve">（四）成果展示 </w:t>
      </w:r>
      <w:r>
        <w:rPr>
          <w:rFonts w:hint="default" w:ascii="Times New Roman" w:hAnsi="Times New Roman" w:cs="Times New Roman"/>
        </w:rPr>
        <w:t>3</w:t>
      </w:r>
      <w:r>
        <w:t>：跨被试免校准（</w:t>
      </w:r>
      <w:r>
        <w:rPr>
          <w:rFonts w:hint="default" w:ascii="Times New Roman" w:hAnsi="Times New Roman" w:cs="Times New Roman"/>
        </w:rPr>
        <w:t>LOSO</w:t>
      </w:r>
      <w:r>
        <w:t>）</w:t>
      </w:r>
      <w:bookmarkEnd w:id="63"/>
      <w:bookmarkEnd w:id="64"/>
    </w:p>
    <w:p w14:paraId="3C4D1F9D">
      <w:pPr>
        <w:ind w:firstLine="422"/>
        <w:jc w:val="center"/>
      </w:pPr>
      <w:r>
        <w:rPr>
          <w:rFonts w:eastAsia="黑体"/>
          <w:b/>
          <w:sz w:val="21"/>
        </w:rPr>
        <w:t>表 6  留一被试免校准结果（9 折 × 5 seeds）</w:t>
      </w:r>
    </w:p>
    <w:tbl>
      <w:tblPr>
        <w:tblStyle w:val="15"/>
        <w:tblW w:w="0" w:type="auto"/>
        <w:jc w:val="center"/>
        <w:tblLayout w:type="autofit"/>
        <w:tblCellMar>
          <w:top w:w="0" w:type="dxa"/>
          <w:left w:w="108" w:type="dxa"/>
          <w:bottom w:w="0" w:type="dxa"/>
          <w:right w:w="108" w:type="dxa"/>
        </w:tblCellMar>
      </w:tblPr>
      <w:tblGrid>
        <w:gridCol w:w="2126"/>
        <w:gridCol w:w="2126"/>
        <w:gridCol w:w="2126"/>
        <w:gridCol w:w="2126"/>
      </w:tblGrid>
      <w:tr w14:paraId="13B5DF4A">
        <w:tblPrEx>
          <w:tblCellMar>
            <w:top w:w="0" w:type="dxa"/>
            <w:left w:w="108" w:type="dxa"/>
            <w:bottom w:w="0" w:type="dxa"/>
            <w:right w:w="108" w:type="dxa"/>
          </w:tblCellMar>
        </w:tblPrEx>
        <w:trPr>
          <w:jc w:val="center"/>
        </w:trPr>
        <w:tc>
          <w:tcPr>
            <w:tcW w:w="2126" w:type="dxa"/>
            <w:shd w:val="clear" w:color="auto" w:fill="D9E2F3"/>
          </w:tcPr>
          <w:p w14:paraId="75C2A166">
            <w:pPr>
              <w:ind w:firstLine="422"/>
              <w:jc w:val="center"/>
            </w:pPr>
            <w:r>
              <w:rPr>
                <w:rFonts w:eastAsia="黑体"/>
                <w:b/>
                <w:sz w:val="21"/>
              </w:rPr>
              <w:t>模型</w:t>
            </w:r>
          </w:p>
        </w:tc>
        <w:tc>
          <w:tcPr>
            <w:tcW w:w="2126" w:type="dxa"/>
            <w:shd w:val="clear" w:color="auto" w:fill="D9E2F3"/>
          </w:tcPr>
          <w:p w14:paraId="46B6BE51">
            <w:pPr>
              <w:ind w:firstLine="422"/>
              <w:jc w:val="center"/>
            </w:pPr>
            <w:r>
              <w:rPr>
                <w:rFonts w:eastAsia="黑体"/>
                <w:b/>
                <w:sz w:val="21"/>
              </w:rPr>
              <w:t>参数量</w:t>
            </w:r>
          </w:p>
        </w:tc>
        <w:tc>
          <w:tcPr>
            <w:tcW w:w="2126" w:type="dxa"/>
            <w:shd w:val="clear" w:color="auto" w:fill="D9E2F3"/>
          </w:tcPr>
          <w:p w14:paraId="6BAFF16E">
            <w:pPr>
              <w:ind w:firstLine="422"/>
              <w:jc w:val="center"/>
            </w:pPr>
            <w:r>
              <w:rPr>
                <w:rFonts w:eastAsia="黑体"/>
                <w:b/>
                <w:sz w:val="21"/>
              </w:rPr>
              <w:t>LOSO Accuracy</w:t>
            </w:r>
          </w:p>
        </w:tc>
        <w:tc>
          <w:tcPr>
            <w:tcW w:w="2126" w:type="dxa"/>
            <w:shd w:val="clear" w:color="auto" w:fill="D9E2F3"/>
          </w:tcPr>
          <w:p w14:paraId="57CDF827">
            <w:pPr>
              <w:ind w:firstLine="422"/>
              <w:jc w:val="center"/>
            </w:pPr>
            <w:r>
              <w:rPr>
                <w:rFonts w:eastAsia="黑体"/>
                <w:b/>
                <w:sz w:val="21"/>
              </w:rPr>
              <w:t>Macro-F1</w:t>
            </w:r>
          </w:p>
        </w:tc>
      </w:tr>
      <w:tr w14:paraId="3DCFAA5C">
        <w:tblPrEx>
          <w:tblCellMar>
            <w:top w:w="0" w:type="dxa"/>
            <w:left w:w="108" w:type="dxa"/>
            <w:bottom w:w="0" w:type="dxa"/>
            <w:right w:w="108" w:type="dxa"/>
          </w:tblCellMar>
        </w:tblPrEx>
        <w:trPr>
          <w:jc w:val="center"/>
        </w:trPr>
        <w:tc>
          <w:tcPr>
            <w:tcW w:w="2126" w:type="dxa"/>
          </w:tcPr>
          <w:p w14:paraId="4343DBAC">
            <w:pPr>
              <w:ind w:firstLine="400"/>
              <w:jc w:val="center"/>
            </w:pPr>
            <w:r>
              <w:rPr>
                <w:sz w:val="20"/>
              </w:rPr>
              <w:t>EEGNet</w:t>
            </w:r>
          </w:p>
        </w:tc>
        <w:tc>
          <w:tcPr>
            <w:tcW w:w="2126" w:type="dxa"/>
          </w:tcPr>
          <w:p w14:paraId="1D4F1B65">
            <w:pPr>
              <w:ind w:firstLine="400"/>
              <w:jc w:val="center"/>
            </w:pPr>
            <w:r>
              <w:rPr>
                <w:sz w:val="20"/>
              </w:rPr>
              <w:t>2947</w:t>
            </w:r>
          </w:p>
        </w:tc>
        <w:tc>
          <w:tcPr>
            <w:tcW w:w="2126" w:type="dxa"/>
          </w:tcPr>
          <w:p w14:paraId="7EDAB739">
            <w:pPr>
              <w:ind w:firstLine="400"/>
              <w:jc w:val="center"/>
            </w:pPr>
            <w:r>
              <w:rPr>
                <w:sz w:val="20"/>
              </w:rPr>
              <w:t>55.73±15.20%</w:t>
            </w:r>
          </w:p>
        </w:tc>
        <w:tc>
          <w:tcPr>
            <w:tcW w:w="2126" w:type="dxa"/>
          </w:tcPr>
          <w:p w14:paraId="27B3F521">
            <w:pPr>
              <w:ind w:firstLine="400"/>
              <w:jc w:val="center"/>
            </w:pPr>
            <w:r>
              <w:rPr>
                <w:sz w:val="20"/>
              </w:rPr>
              <w:t>53.31±17.58%</w:t>
            </w:r>
          </w:p>
        </w:tc>
      </w:tr>
      <w:tr w14:paraId="25800C4F">
        <w:tblPrEx>
          <w:tblCellMar>
            <w:top w:w="0" w:type="dxa"/>
            <w:left w:w="108" w:type="dxa"/>
            <w:bottom w:w="0" w:type="dxa"/>
            <w:right w:w="108" w:type="dxa"/>
          </w:tblCellMar>
        </w:tblPrEx>
        <w:trPr>
          <w:jc w:val="center"/>
        </w:trPr>
        <w:tc>
          <w:tcPr>
            <w:tcW w:w="2126" w:type="dxa"/>
          </w:tcPr>
          <w:p w14:paraId="62C76E2D">
            <w:pPr>
              <w:ind w:firstLine="400"/>
              <w:jc w:val="center"/>
            </w:pPr>
            <w:r>
              <w:rPr>
                <w:sz w:val="20"/>
              </w:rPr>
              <w:t>STFA-Net（仅 EA，无对抗）</w:t>
            </w:r>
          </w:p>
        </w:tc>
        <w:tc>
          <w:tcPr>
            <w:tcW w:w="2126" w:type="dxa"/>
          </w:tcPr>
          <w:p w14:paraId="17DA9DA0">
            <w:pPr>
              <w:ind w:firstLine="400"/>
              <w:jc w:val="center"/>
            </w:pPr>
            <w:r>
              <w:rPr>
                <w:sz w:val="20"/>
              </w:rPr>
              <w:t>13469</w:t>
            </w:r>
          </w:p>
        </w:tc>
        <w:tc>
          <w:tcPr>
            <w:tcW w:w="2126" w:type="dxa"/>
          </w:tcPr>
          <w:p w14:paraId="38DDBE78">
            <w:pPr>
              <w:ind w:firstLine="400"/>
              <w:jc w:val="center"/>
            </w:pPr>
            <w:r>
              <w:rPr>
                <w:sz w:val="20"/>
              </w:rPr>
              <w:t>51.57±15.32%</w:t>
            </w:r>
          </w:p>
        </w:tc>
        <w:tc>
          <w:tcPr>
            <w:tcW w:w="2126" w:type="dxa"/>
          </w:tcPr>
          <w:p w14:paraId="2DE0D60A">
            <w:pPr>
              <w:ind w:firstLine="400"/>
              <w:jc w:val="center"/>
            </w:pPr>
            <w:r>
              <w:rPr>
                <w:sz w:val="20"/>
              </w:rPr>
              <w:t>47.77±17.56%</w:t>
            </w:r>
          </w:p>
        </w:tc>
      </w:tr>
      <w:tr w14:paraId="2FE79AF7">
        <w:tblPrEx>
          <w:tblCellMar>
            <w:top w:w="0" w:type="dxa"/>
            <w:left w:w="108" w:type="dxa"/>
            <w:bottom w:w="0" w:type="dxa"/>
            <w:right w:w="108" w:type="dxa"/>
          </w:tblCellMar>
        </w:tblPrEx>
        <w:trPr>
          <w:jc w:val="center"/>
        </w:trPr>
        <w:tc>
          <w:tcPr>
            <w:tcW w:w="2126" w:type="dxa"/>
          </w:tcPr>
          <w:p w14:paraId="3C6501E6">
            <w:pPr>
              <w:ind w:firstLine="400"/>
              <w:jc w:val="center"/>
            </w:pPr>
            <w:r>
              <w:rPr>
                <w:sz w:val="20"/>
              </w:rPr>
              <w:t>STFA-DGNet（EA+GRL，本作品）</w:t>
            </w:r>
          </w:p>
        </w:tc>
        <w:tc>
          <w:tcPr>
            <w:tcW w:w="2126" w:type="dxa"/>
          </w:tcPr>
          <w:p w14:paraId="0A06AE2C">
            <w:pPr>
              <w:ind w:firstLine="400"/>
              <w:jc w:val="center"/>
            </w:pPr>
            <w:r>
              <w:rPr>
                <w:sz w:val="20"/>
              </w:rPr>
              <w:t>18214</w:t>
            </w:r>
          </w:p>
        </w:tc>
        <w:tc>
          <w:tcPr>
            <w:tcW w:w="2126" w:type="dxa"/>
          </w:tcPr>
          <w:p w14:paraId="3D548AC0">
            <w:pPr>
              <w:ind w:firstLine="400"/>
              <w:jc w:val="center"/>
            </w:pPr>
            <w:r>
              <w:rPr>
                <w:sz w:val="20"/>
              </w:rPr>
              <w:t>51.55±14.89%</w:t>
            </w:r>
          </w:p>
        </w:tc>
        <w:tc>
          <w:tcPr>
            <w:tcW w:w="2126" w:type="dxa"/>
          </w:tcPr>
          <w:p w14:paraId="6F5BCD80">
            <w:pPr>
              <w:ind w:firstLine="400"/>
              <w:jc w:val="center"/>
            </w:pPr>
            <w:r>
              <w:rPr>
                <w:sz w:val="20"/>
              </w:rPr>
              <w:t>47.82±17.13%</w:t>
            </w:r>
          </w:p>
        </w:tc>
      </w:tr>
    </w:tbl>
    <w:p w14:paraId="6330CC1F">
      <w:pPr>
        <w:spacing w:after="0"/>
        <w:ind w:firstLine="480"/>
      </w:pPr>
    </w:p>
    <w:p w14:paraId="6213ABA8">
      <w:pPr>
        <w:spacing w:line="240" w:lineRule="auto"/>
        <w:ind w:firstLine="480"/>
      </w:pPr>
      <w:r>
        <w:t>三种模型在 LOSO 中均使用相同的无标签欧氏对齐（EA）预处理与同一数据划分，差别仅在网络结构与是否加入 GRL，保证对照公平。</w:t>
      </w:r>
    </w:p>
    <w:p w14:paraId="33D34E7A">
      <w:pPr>
        <w:jc w:val="center"/>
      </w:pPr>
      <w:r>
        <w:t>在模型完全未见过测试被试的条件下，无对抗版本（51.57%）与 EA+GRL 版本（51.55%）基本持平（准确率差 -0.02、Macro-F1 差 +0.05 个百分点），说明在九被试规模下 GRL 未带来可辨别的增益——这一阴性结果与被试内门控结论一致：额外模块的收益必须由数据证实。值得注意的是，结构最简单的 EEGNet 在 LOSO 下反而最高（55.73%），高出 STFA 系约 4.2 个百分点，表明跨被试场景的主要瓶颈是被试间分布差异而非模型容量，单纯增加网络复杂度无助于泛化。三模型折间标准差均高达约 15 个百分点（个别被试近随机、个别被试 70% 以上），新用户免校准仍是本方向的公开难题；后续工作将从更强的无监督域适应、个性化自适应与在线校准融合三个方向改进。进一步，引入 BCI Competition IV-2b 数据集（3 导联 C3/Cz/C4、2 类左右手、9 名被试）进行跨数据集迁移与多数据集验证：先在 2b 上预训练 STFA 编码器（被试内 76.90%、LOSO 66.51%），再将可迁移的时间卷积、时间注意力、特征注意力与融合模块权重迁移至 2a 模型，22 通道空间卷积与分类头在 2a 上重训。迁移后 2a LOSO 准确率由 STFA 的 51.57% 提升至 52.48%（+0.91 pp），验证了跨数据集预训练对跨被试泛化的正向作用；同时 2b 被试内 76.90% 与 LOSO 66.51% 的结果为本方案在第二套独立基准上的泛化能力提供了佐证。</w:t>
      </w:r>
      <w:r>
        <w:pict>
          <v:shape id="_x0000_i1036" o:spt="75" type="#_x0000_t75" style="height:593.2pt;width:396pt;" filled="f" o:preferrelative="t" stroked="f" coordsize="21600,21600">
            <v:path/>
            <v:fill on="f" focussize="0,0"/>
            <v:stroke on="f"/>
            <v:imagedata r:id="rId22" o:title=""/>
            <o:lock v:ext="edit" aspectratio="t"/>
            <w10:wrap type="none"/>
            <w10:anchorlock/>
          </v:shape>
        </w:pict>
      </w:r>
    </w:p>
    <w:p w14:paraId="7C7C013E">
      <w:pPr>
        <w:jc w:val="center"/>
      </w:pPr>
      <w:r>
        <w:rPr>
          <w:rFonts w:ascii="宋体" w:hAnsi="宋体" w:eastAsia="宋体"/>
          <w:sz w:val="18"/>
        </w:rPr>
        <w:t>图 0c  辅助机械臂执行场景：脑电解码指令驱动桌面协作机械臂</w:t>
      </w:r>
      <w:bookmarkStart w:id="83" w:name="_GoBack"/>
      <w:bookmarkEnd w:id="83"/>
    </w:p>
    <w:p w14:paraId="3DEAF020">
      <w:pPr>
        <w:pStyle w:val="3"/>
        <w:bidi w:val="0"/>
      </w:pPr>
      <w:bookmarkStart w:id="65" w:name="_Toc10883"/>
      <w:bookmarkStart w:id="66" w:name="_Toc25957"/>
      <w:r>
        <w:t>（五）可解释性：门控裁决与脑区证据</w:t>
      </w:r>
      <w:bookmarkEnd w:id="65"/>
      <w:bookmarkEnd w:id="66"/>
    </w:p>
    <w:p w14:paraId="790ACFEB">
      <w:pPr>
        <w:ind w:firstLine="422"/>
        <w:jc w:val="center"/>
      </w:pPr>
      <w:r>
        <w:rPr>
          <w:rFonts w:eastAsia="黑体"/>
          <w:b/>
          <w:sz w:val="21"/>
        </w:rPr>
        <w:t>表 7  五种子门控强度实测（α≈0 表示模块被自适应抑制）</w:t>
      </w:r>
    </w:p>
    <w:tbl>
      <w:tblPr>
        <w:tblStyle w:val="15"/>
        <w:tblW w:w="0" w:type="auto"/>
        <w:jc w:val="center"/>
        <w:tblLayout w:type="autofit"/>
        <w:tblCellMar>
          <w:top w:w="0" w:type="dxa"/>
          <w:left w:w="108" w:type="dxa"/>
          <w:bottom w:w="0" w:type="dxa"/>
          <w:right w:w="108" w:type="dxa"/>
        </w:tblCellMar>
      </w:tblPr>
      <w:tblGrid>
        <w:gridCol w:w="2835"/>
        <w:gridCol w:w="2835"/>
        <w:gridCol w:w="2835"/>
      </w:tblGrid>
      <w:tr w14:paraId="75F1348B">
        <w:tblPrEx>
          <w:tblCellMar>
            <w:top w:w="0" w:type="dxa"/>
            <w:left w:w="108" w:type="dxa"/>
            <w:bottom w:w="0" w:type="dxa"/>
            <w:right w:w="108" w:type="dxa"/>
          </w:tblCellMar>
        </w:tblPrEx>
        <w:trPr>
          <w:jc w:val="center"/>
        </w:trPr>
        <w:tc>
          <w:tcPr>
            <w:tcW w:w="2835" w:type="dxa"/>
            <w:shd w:val="clear" w:color="auto" w:fill="D9E2F3"/>
          </w:tcPr>
          <w:p w14:paraId="2ED75179">
            <w:pPr>
              <w:ind w:firstLine="422"/>
              <w:jc w:val="center"/>
            </w:pPr>
            <w:r>
              <w:rPr>
                <w:rFonts w:eastAsia="黑体"/>
                <w:b/>
                <w:sz w:val="21"/>
              </w:rPr>
              <w:t>门控位置</w:t>
            </w:r>
          </w:p>
        </w:tc>
        <w:tc>
          <w:tcPr>
            <w:tcW w:w="2835" w:type="dxa"/>
            <w:shd w:val="clear" w:color="auto" w:fill="D9E2F3"/>
          </w:tcPr>
          <w:p w14:paraId="155D6667">
            <w:pPr>
              <w:ind w:firstLine="422"/>
              <w:jc w:val="center"/>
            </w:pPr>
            <w:r>
              <w:rPr>
                <w:rFonts w:eastAsia="黑体"/>
                <w:b/>
                <w:sz w:val="21"/>
              </w:rPr>
              <w:t>α 均值±标准差</w:t>
            </w:r>
          </w:p>
        </w:tc>
        <w:tc>
          <w:tcPr>
            <w:tcW w:w="2835" w:type="dxa"/>
            <w:shd w:val="clear" w:color="auto" w:fill="D9E2F3"/>
          </w:tcPr>
          <w:p w14:paraId="3B2E2FEC">
            <w:pPr>
              <w:ind w:firstLine="422"/>
              <w:jc w:val="center"/>
            </w:pPr>
            <w:r>
              <w:rPr>
                <w:rFonts w:eastAsia="黑体"/>
                <w:b/>
                <w:sz w:val="21"/>
              </w:rPr>
              <w:t>模型的裁决</w:t>
            </w:r>
          </w:p>
        </w:tc>
      </w:tr>
      <w:tr w14:paraId="467BFF60">
        <w:tblPrEx>
          <w:tblCellMar>
            <w:top w:w="0" w:type="dxa"/>
            <w:left w:w="108" w:type="dxa"/>
            <w:bottom w:w="0" w:type="dxa"/>
            <w:right w:w="108" w:type="dxa"/>
          </w:tblCellMar>
        </w:tblPrEx>
        <w:trPr>
          <w:jc w:val="center"/>
        </w:trPr>
        <w:tc>
          <w:tcPr>
            <w:tcW w:w="2835" w:type="dxa"/>
          </w:tcPr>
          <w:p w14:paraId="4179A119">
            <w:pPr>
              <w:ind w:firstLine="400"/>
              <w:jc w:val="center"/>
            </w:pPr>
            <w:r>
              <w:rPr>
                <w:sz w:val="20"/>
              </w:rPr>
              <w:t>通道注意力 α_c</w:t>
            </w:r>
          </w:p>
        </w:tc>
        <w:tc>
          <w:tcPr>
            <w:tcW w:w="2835" w:type="dxa"/>
          </w:tcPr>
          <w:p w14:paraId="7226056F">
            <w:pPr>
              <w:ind w:firstLine="400"/>
              <w:jc w:val="center"/>
            </w:pPr>
            <w:r>
              <w:rPr>
                <w:sz w:val="20"/>
              </w:rPr>
              <w:t>-0.085±0.283</w:t>
            </w:r>
          </w:p>
        </w:tc>
        <w:tc>
          <w:tcPr>
            <w:tcW w:w="2835" w:type="dxa"/>
          </w:tcPr>
          <w:p w14:paraId="37AB6CDC">
            <w:pPr>
              <w:ind w:firstLine="400"/>
              <w:jc w:val="center"/>
            </w:pPr>
            <w:r>
              <w:rPr>
                <w:sz w:val="20"/>
              </w:rPr>
              <w:t>近零（近乎关闭）</w:t>
            </w:r>
          </w:p>
        </w:tc>
      </w:tr>
      <w:tr w14:paraId="7E63790C">
        <w:tblPrEx>
          <w:tblCellMar>
            <w:top w:w="0" w:type="dxa"/>
            <w:left w:w="108" w:type="dxa"/>
            <w:bottom w:w="0" w:type="dxa"/>
            <w:right w:w="108" w:type="dxa"/>
          </w:tblCellMar>
        </w:tblPrEx>
        <w:trPr>
          <w:jc w:val="center"/>
        </w:trPr>
        <w:tc>
          <w:tcPr>
            <w:tcW w:w="2835" w:type="dxa"/>
          </w:tcPr>
          <w:p w14:paraId="1E00DC58">
            <w:pPr>
              <w:ind w:firstLine="400"/>
              <w:jc w:val="center"/>
            </w:pPr>
            <w:r>
              <w:rPr>
                <w:sz w:val="20"/>
              </w:rPr>
              <w:t>时间注意力 α_t</w:t>
            </w:r>
          </w:p>
        </w:tc>
        <w:tc>
          <w:tcPr>
            <w:tcW w:w="2835" w:type="dxa"/>
          </w:tcPr>
          <w:p w14:paraId="2211E6F9">
            <w:pPr>
              <w:ind w:firstLine="400"/>
              <w:jc w:val="center"/>
            </w:pPr>
            <w:r>
              <w:rPr>
                <w:sz w:val="20"/>
              </w:rPr>
              <w:t>-0.397±0.806</w:t>
            </w:r>
          </w:p>
        </w:tc>
        <w:tc>
          <w:tcPr>
            <w:tcW w:w="2835" w:type="dxa"/>
          </w:tcPr>
          <w:p w14:paraId="23D6B17B">
            <w:pPr>
              <w:ind w:firstLine="400"/>
              <w:jc w:val="center"/>
            </w:pPr>
            <w:r>
              <w:rPr>
                <w:sz w:val="20"/>
              </w:rPr>
              <w:t>显著抑制</w:t>
            </w:r>
          </w:p>
        </w:tc>
      </w:tr>
      <w:tr w14:paraId="6A576EA8">
        <w:tblPrEx>
          <w:tblCellMar>
            <w:top w:w="0" w:type="dxa"/>
            <w:left w:w="108" w:type="dxa"/>
            <w:bottom w:w="0" w:type="dxa"/>
            <w:right w:w="108" w:type="dxa"/>
          </w:tblCellMar>
        </w:tblPrEx>
        <w:trPr>
          <w:jc w:val="center"/>
        </w:trPr>
        <w:tc>
          <w:tcPr>
            <w:tcW w:w="2835" w:type="dxa"/>
          </w:tcPr>
          <w:p w14:paraId="4927B87F">
            <w:pPr>
              <w:ind w:firstLine="400"/>
              <w:jc w:val="center"/>
            </w:pPr>
            <w:r>
              <w:rPr>
                <w:sz w:val="20"/>
              </w:rPr>
              <w:t>特征注意力 α_feat</w:t>
            </w:r>
          </w:p>
        </w:tc>
        <w:tc>
          <w:tcPr>
            <w:tcW w:w="2835" w:type="dxa"/>
          </w:tcPr>
          <w:p w14:paraId="13DDB2C9">
            <w:pPr>
              <w:ind w:firstLine="400"/>
              <w:jc w:val="center"/>
            </w:pPr>
            <w:r>
              <w:rPr>
                <w:sz w:val="20"/>
              </w:rPr>
              <w:t>-0.341±0.150</w:t>
            </w:r>
          </w:p>
        </w:tc>
        <w:tc>
          <w:tcPr>
            <w:tcW w:w="2835" w:type="dxa"/>
          </w:tcPr>
          <w:p w14:paraId="3B2089E8">
            <w:pPr>
              <w:ind w:firstLine="400"/>
              <w:jc w:val="center"/>
            </w:pPr>
            <w:r>
              <w:rPr>
                <w:sz w:val="20"/>
              </w:rPr>
              <w:t>显著抑制</w:t>
            </w:r>
          </w:p>
        </w:tc>
      </w:tr>
      <w:tr w14:paraId="72AF42D4">
        <w:tblPrEx>
          <w:tblCellMar>
            <w:top w:w="0" w:type="dxa"/>
            <w:left w:w="108" w:type="dxa"/>
            <w:bottom w:w="0" w:type="dxa"/>
            <w:right w:w="108" w:type="dxa"/>
          </w:tblCellMar>
        </w:tblPrEx>
        <w:trPr>
          <w:jc w:val="center"/>
        </w:trPr>
        <w:tc>
          <w:tcPr>
            <w:tcW w:w="2835" w:type="dxa"/>
          </w:tcPr>
          <w:p w14:paraId="373D1A05">
            <w:pPr>
              <w:ind w:firstLine="400"/>
              <w:jc w:val="center"/>
            </w:pPr>
            <w:r>
              <w:rPr>
                <w:sz w:val="20"/>
              </w:rPr>
              <w:t>频域分支 α_f</w:t>
            </w:r>
          </w:p>
        </w:tc>
        <w:tc>
          <w:tcPr>
            <w:tcW w:w="2835" w:type="dxa"/>
          </w:tcPr>
          <w:p w14:paraId="3E1BF660">
            <w:pPr>
              <w:ind w:firstLine="400"/>
              <w:jc w:val="center"/>
            </w:pPr>
            <w:r>
              <w:rPr>
                <w:sz w:val="20"/>
              </w:rPr>
              <w:t>-0.142±0.027</w:t>
            </w:r>
          </w:p>
        </w:tc>
        <w:tc>
          <w:tcPr>
            <w:tcW w:w="2835" w:type="dxa"/>
          </w:tcPr>
          <w:p w14:paraId="51C7A26E">
            <w:pPr>
              <w:ind w:firstLine="400"/>
              <w:jc w:val="center"/>
            </w:pPr>
            <w:r>
              <w:rPr>
                <w:sz w:val="20"/>
              </w:rPr>
              <w:t>轻度抑制</w:t>
            </w:r>
          </w:p>
        </w:tc>
      </w:tr>
    </w:tbl>
    <w:p w14:paraId="48A3BC4C">
      <w:pPr>
        <w:spacing w:after="0"/>
        <w:ind w:firstLine="480"/>
      </w:pPr>
    </w:p>
    <w:p w14:paraId="4C7B7E0F">
      <w:pPr>
        <w:spacing w:line="240" w:lineRule="auto"/>
        <w:ind w:firstLine="480"/>
      </w:pPr>
      <w:r>
        <w:t>模型用梯度完成了对各模块的“投票”（通道注意力 -0.08、时间注意力 -0.40、特征注意力 -0.34、频域分支 -0.14），对不同模块给出差异化信任度；与表 5 消融结果对照可见：α 不显著为正的模块被移除后精度不降，两条相互独立的证据指向同一结论——小样本 EEG 网络中各模块的收益应由数据裁决，而非凭先验堆叠。需要说明的是，通道注意力五种子 α_c 均值近零，说明其整体增益有限；但在单种子（42）模型上仍可将权重按 10-20 标准位置绘制头皮地形图（图 6）作为结构性观察：高权重通道为 FC3、C6、C1、C2、FC1、FCz、C3 等，集中覆盖中央沟两侧的额-中央感觉运动皮层带，而后部顶/枕区（CP4、CPz、CP3、P 行）权重被压低，与“运动想象判别信息源于感觉运动皮层而非视觉皮层”的神经科学先验一致；权重呈双侧分布而非严格对侧化，与三类任务（左/右手、双脚）混合的设置相符。这类“模型决策可回溯到解剖位置”的性质适合科研结论撰写与实验实训示教。</w:t>
      </w:r>
    </w:p>
    <w:p w14:paraId="389FE61C">
      <w:pPr>
        <w:spacing w:after="0"/>
        <w:ind w:firstLine="480"/>
        <w:jc w:val="center"/>
      </w:pPr>
      <w:r>
        <w:pict>
          <v:shape id="_x0000_i1033" o:spt="75" type="#_x0000_t75" style="height:199.5pt;width:425.15pt;" filled="f" o:preferrelative="t" stroked="f" coordsize="21600,21600">
            <v:path/>
            <v:fill on="f" focussize="0,0"/>
            <v:stroke on="f"/>
            <v:imagedata r:id="rId23" o:title=""/>
            <o:lock v:ext="edit" aspectratio="t"/>
            <w10:wrap type="none"/>
            <w10:anchorlock/>
          </v:shape>
        </w:pict>
      </w:r>
    </w:p>
    <w:p w14:paraId="694B7FC9">
      <w:pPr>
        <w:ind w:firstLine="420"/>
        <w:jc w:val="center"/>
      </w:pPr>
      <w:r>
        <w:rPr>
          <w:rFonts w:eastAsia="楷体"/>
          <w:sz w:val="21"/>
        </w:rPr>
        <w:t>图 6  通道注意力权重头皮地形图（高权重集中于额-中央感觉运动皮层带）</w:t>
      </w:r>
    </w:p>
    <w:p w14:paraId="10722407">
      <w:pPr>
        <w:pStyle w:val="3"/>
        <w:bidi w:val="0"/>
      </w:pPr>
      <w:bookmarkStart w:id="67" w:name="_Toc10199"/>
      <w:bookmarkStart w:id="68" w:name="_Toc21736"/>
      <w:r>
        <w:t>（六）结果边界与诚实声明</w:t>
      </w:r>
      <w:bookmarkEnd w:id="67"/>
      <w:bookmarkEnd w:id="68"/>
    </w:p>
    <w:p w14:paraId="05DCEA80">
      <w:pPr>
        <w:spacing w:line="240" w:lineRule="auto"/>
        <w:ind w:firstLine="480"/>
      </w:pPr>
      <w:r>
        <w:t>STFA-Net 被试内相对 EEGNet 领先 2.76 个百分点；最有把握的结论来自空间模块消融（−17.71%）与门控分析。被试内领先幅度仍属有限，且部分指标的标准差区间存在重叠，本作品不夸大其显著性。滑窗裁剪训练经 A/B 实测无增益，已如实记录而非选择性报告；目前应用效果为公开数据集离线验证，尚未开展真实患者在线试点，不做临床效果宣称。全部逐折、逐种子原始结果、混淆矩阵与 α 值随代码提交，可供复核。</w:t>
      </w:r>
    </w:p>
    <w:p w14:paraId="071CEEB2">
      <w:pPr>
        <w:pStyle w:val="3"/>
        <w:bidi w:val="0"/>
      </w:pPr>
      <w:bookmarkStart w:id="69" w:name="_Toc30594"/>
      <w:bookmarkStart w:id="70" w:name="_Toc18795"/>
      <w:r>
        <w:t>（七）创新点总结</w:t>
      </w:r>
      <w:bookmarkEnd w:id="69"/>
      <w:bookmarkEnd w:id="70"/>
    </w:p>
    <w:p w14:paraId="7BFDCCFF">
      <w:pPr>
        <w:pStyle w:val="4"/>
        <w:bidi w:val="0"/>
      </w:pPr>
      <w:bookmarkStart w:id="71" w:name="_Toc11123"/>
      <w:bookmarkStart w:id="72" w:name="_Toc824"/>
      <w:r>
        <w:t>1. 面向学科实验痛点的免校准解码方案</w:t>
      </w:r>
      <w:bookmarkEnd w:id="71"/>
      <w:bookmarkEnd w:id="72"/>
    </w:p>
    <w:p w14:paraId="52AE4487">
      <w:pPr>
        <w:spacing w:line="240" w:lineRule="auto"/>
        <w:ind w:firstLine="480"/>
      </w:pPr>
      <w:r>
        <w:t>无标签欧氏对齐（按被试×场次）与梯度反转对抗结合，直接对应神经工程实验与康复训练中新用户标定耗时的真实痛点，并在 LOSO 协议下完成了对照验证；对抗强度的自适应化是后续优化方向。</w:t>
      </w:r>
    </w:p>
    <w:p w14:paraId="0287CC7C">
      <w:pPr>
        <w:pStyle w:val="4"/>
        <w:bidi w:val="0"/>
      </w:pPr>
      <w:bookmarkStart w:id="73" w:name="_Toc27800"/>
      <w:bookmarkStart w:id="74" w:name="_Toc15077"/>
      <w:r>
        <w:t>2. 模块可靠性自适应门控（MAG）</w:t>
      </w:r>
      <w:bookmarkEnd w:id="73"/>
      <w:bookmarkEnd w:id="74"/>
    </w:p>
    <w:p w14:paraId="2EBC5191">
      <w:pPr>
        <w:spacing w:line="240" w:lineRule="auto"/>
        <w:ind w:firstLine="480"/>
      </w:pPr>
      <w:r>
        <w:t>零初始化残差门控以恒等映射接入、由梯度自主裁决强度、训练后可导出量化，配合消融形成“机制—现象—验证”闭环，为小样本 EEG 网络“该堆哪些模块”提供可证伪的研究范式。</w:t>
      </w:r>
    </w:p>
    <w:p w14:paraId="0991FB14">
      <w:pPr>
        <w:pStyle w:val="4"/>
        <w:ind w:firstLine="482"/>
      </w:pPr>
      <w:bookmarkStart w:id="75" w:name="_Toc25250"/>
      <w:bookmarkStart w:id="76" w:name="_Toc16799"/>
      <w:r>
        <w:t>3. 时-空-频三视角可解释融合</w:t>
      </w:r>
      <w:bookmarkEnd w:id="75"/>
      <w:bookmarkEnd w:id="76"/>
    </w:p>
    <w:p w14:paraId="4059D8C0">
      <w:pPr>
        <w:spacing w:line="240" w:lineRule="auto"/>
        <w:ind w:firstLine="480"/>
      </w:pPr>
      <w:r>
        <w:t>多尺度时间卷积、22 通道深度空间卷积与 STFT 二维频域卷积并行后经 softmax 融合；通道权重可做头皮地形图并与神经科学先验互证，天然适配科研与教学场景。</w:t>
      </w:r>
    </w:p>
    <w:p w14:paraId="51DD1737">
      <w:pPr>
        <w:pStyle w:val="2"/>
        <w:bidi w:val="0"/>
      </w:pPr>
      <w:bookmarkStart w:id="77" w:name="_Toc8587"/>
      <w:bookmarkStart w:id="78" w:name="_Toc20117"/>
      <w:r>
        <w:t>七、总结与展望</w:t>
      </w:r>
      <w:bookmarkEnd w:id="77"/>
      <w:bookmarkEnd w:id="78"/>
    </w:p>
    <w:p w14:paraId="29D06E2D">
      <w:pPr>
        <w:spacing w:line="240" w:lineRule="auto"/>
        <w:ind w:firstLine="480"/>
      </w:pPr>
      <w:r>
        <w:t>本作品立足生物医学工程（神经工程与康复工程方向）的学科实验环节，针对 MI-EEG“样本少、校准长、黑箱难解释”三个痛点，给出轻量 STFA-Net、MAG 门控与 EA+GRL 免校准方案，并在九被试两场次公开基准上以五种子对比、消融、留一被试三组实验形成完整证据链。不足在于：在线闭环与真实实训试点尚未开展；跨</w:t>
      </w:r>
      <w:r>
        <w:rPr>
          <w:rFonts w:hint="eastAsia"/>
        </w:rPr>
        <w:t>被试者</w:t>
      </w:r>
      <w:r>
        <w:t>间方差仍大。后续规划：①接入真实机械臂完成在线闭环与实训试点，采集在线标定耗时/在线准确率/学生完成时长等赋能证据；②引入 μ/β 滤波器组与条件化门控；③已在 BCI IV-2b 完成跨数据集迁移与多基准验证（2b 被试内 76.90%、LOSO 66.51%，2b→2a 迁移使 2a LOSO 由 51.57% 提升至 52.48%），后续扩展至 PhysioNet MI 等第三方数据集；④扩展康复外骨骼、智能轮椅等更多学科应用场景。</w:t>
      </w:r>
    </w:p>
    <w:p w14:paraId="3C1F7BFB">
      <w:pPr>
        <w:pStyle w:val="2"/>
        <w:bidi w:val="0"/>
      </w:pPr>
      <w:bookmarkStart w:id="79" w:name="_Toc17215"/>
      <w:bookmarkStart w:id="80" w:name="_Toc6947"/>
      <w:r>
        <w:t>八、附录</w:t>
      </w:r>
      <w:bookmarkEnd w:id="79"/>
      <w:bookmarkEnd w:id="80"/>
    </w:p>
    <w:p w14:paraId="1EE4188A">
      <w:pPr>
        <w:pStyle w:val="3"/>
        <w:bidi w:val="0"/>
      </w:pPr>
      <w:bookmarkStart w:id="81" w:name="_Toc16718"/>
      <w:bookmarkStart w:id="82" w:name="_Toc5008"/>
      <w:r>
        <w:t>（</w:t>
      </w:r>
      <w:r>
        <w:rPr>
          <w:rFonts w:hint="eastAsia"/>
        </w:rPr>
        <w:t>一</w:t>
      </w:r>
      <w:r>
        <w:t>）参考文献</w:t>
      </w:r>
      <w:bookmarkEnd w:id="81"/>
      <w:bookmarkEnd w:id="82"/>
    </w:p>
    <w:p w14:paraId="2F8E1D22">
      <w:pPr>
        <w:spacing w:line="240" w:lineRule="auto"/>
        <w:ind w:firstLine="420"/>
      </w:pPr>
      <w:r>
        <w:rPr>
          <w:sz w:val="21"/>
        </w:rPr>
        <w:t>[1] Pfurtscheller G, da Silva F H L. EEG event-related desynchronization and event-related synchronization. Clinical Neurophysiology, 1999, 110(11): 1842-1857.</w:t>
      </w:r>
    </w:p>
    <w:p w14:paraId="7A006143">
      <w:pPr>
        <w:spacing w:line="240" w:lineRule="auto"/>
        <w:ind w:firstLine="420"/>
      </w:pPr>
      <w:r>
        <w:rPr>
          <w:sz w:val="21"/>
        </w:rPr>
        <w:t>[2] Tangermann M, Müller K-R, Aertsen A, et al. Review of the BCI Competition IV. Frontiers in Neuroscience, 2012, 6: 55.</w:t>
      </w:r>
    </w:p>
    <w:p w14:paraId="7BA04537">
      <w:pPr>
        <w:spacing w:line="240" w:lineRule="auto"/>
        <w:ind w:firstLine="420"/>
      </w:pPr>
      <w:r>
        <w:rPr>
          <w:sz w:val="21"/>
        </w:rPr>
        <w:t>[3] Schirrmeister R T, Springenberg J T, Fiederer L D J, et al. Deep learning with convolutional neural networks for EEG decoding and visualization. Human Brain Mapping, 2017, 38(11): 5391-5420.</w:t>
      </w:r>
    </w:p>
    <w:p w14:paraId="4E8C552D">
      <w:pPr>
        <w:spacing w:line="240" w:lineRule="auto"/>
        <w:ind w:firstLine="420"/>
      </w:pPr>
      <w:r>
        <w:rPr>
          <w:sz w:val="21"/>
        </w:rPr>
        <w:t>[4] Lawhern V J, Solon A J, Waytowich N R, et al. EEGNet: a compact convolutional neural network for EEG-based brain-computer interfaces. Journal of Neural Engineering, 2018, 15(5): 056013.</w:t>
      </w:r>
    </w:p>
    <w:p w14:paraId="78AC8579">
      <w:pPr>
        <w:spacing w:line="240" w:lineRule="auto"/>
        <w:ind w:firstLine="420"/>
      </w:pPr>
      <w:r>
        <w:rPr>
          <w:sz w:val="21"/>
        </w:rPr>
        <w:t>[5] Zanini R A, Congedo M, Jutten C, et al. Transfer learning: a Riemannian geometry framework to classify EEG in brain-computer interfaces. IEEE Transactions on Biomedical Engineering, 2018, 65(5): 1109-1122.</w:t>
      </w:r>
    </w:p>
    <w:p w14:paraId="0D8962E7">
      <w:pPr>
        <w:spacing w:line="240" w:lineRule="auto"/>
        <w:ind w:firstLine="420"/>
      </w:pPr>
      <w:r>
        <w:rPr>
          <w:sz w:val="21"/>
        </w:rPr>
        <w:t>[6] Ganin Y, Ustinova E, Ajakan H, et al. Domain-adversarial training of neural networks. Journal of Machine Learning Research, 2016, 17(59): 1-35.</w:t>
      </w:r>
    </w:p>
    <w:bookmarkEnd w:id="1"/>
    <w:p w14:paraId="4341BE14">
      <w:pPr>
        <w:ind w:firstLine="480"/>
        <w:rPr>
          <w:rFonts w:ascii="宋体" w:hAnsi="宋体"/>
          <w:szCs w:val="28"/>
        </w:rPr>
      </w:pPr>
    </w:p>
    <w:sectPr>
      <w:footerReference r:id="rId12" w:type="default"/>
      <w:pgSz w:w="11906" w:h="16838"/>
      <w:pgMar w:top="1417" w:right="1701" w:bottom="1417" w:left="1701" w:header="850" w:footer="850" w:gutter="0"/>
      <w:cols w:space="72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CEF4D">
    <w:pPr>
      <w:tabs>
        <w:tab w:val="center" w:pos="4153"/>
        <w:tab w:val="right" w:pos="8306"/>
      </w:tabs>
      <w:ind w:firstLine="48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0185">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53E3C">
    <w:pPr>
      <w:tabs>
        <w:tab w:val="center" w:pos="4153"/>
        <w:tab w:val="right" w:pos="8306"/>
      </w:tabs>
      <w:ind w:firstLine="480"/>
      <w:rPr>
        <w:color w:val="0000FF"/>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5F112">
    <w:pPr>
      <w:tabs>
        <w:tab w:val="center" w:pos="4153"/>
        <w:tab w:val="right" w:pos="8306"/>
      </w:tabs>
      <w:ind w:firstLine="48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A2963">
    <w:pPr>
      <w:tabs>
        <w:tab w:val="center" w:pos="4153"/>
        <w:tab w:val="right" w:pos="8306"/>
      </w:tabs>
      <w:ind w:firstLine="480"/>
      <w:jc w:val="center"/>
      <w:rPr>
        <w:rFonts w:hint="eastAsia"/>
      </w:rPr>
    </w:pPr>
    <w:r>
      <w:fldChar w:fldCharType="begin"/>
    </w:r>
    <w:r>
      <w:instrText xml:space="preserve">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0C75D">
    <w:pPr>
      <w:pBdr>
        <w:bottom w:val="single" w:color="auto" w:sz="4" w:space="0"/>
      </w:pBdr>
      <w:tabs>
        <w:tab w:val="center" w:pos="4153"/>
        <w:tab w:val="right" w:pos="8306"/>
      </w:tabs>
      <w:spacing w:line="240" w:lineRule="auto"/>
      <w:ind w:firstLine="0" w:firstLineChars="0"/>
    </w:pPr>
    <w:r>
      <w:rPr>
        <w:rFonts w:hint="eastAsia"/>
      </w:rPr>
      <w:pict>
        <v:shape id="_x0000_i1026" o:spt="75" alt="AIC方形logo@16x" type="#_x0000_t75" style="height:15pt;width:31.55pt;" filled="f" o:preferrelative="t" stroked="f" coordsize="21600,21600">
          <v:path/>
          <v:fill on="f" focussize="0,0"/>
          <v:stroke on="f" joinstyle="miter"/>
          <v:imagedata r:id="rId1" cropbottom="17421f" o:title=""/>
          <o:lock v:ext="edit" aspectratio="t"/>
          <w10:wrap type="none"/>
          <w10:anchorlock/>
        </v:shape>
      </w:pict>
    </w:r>
    <w:r>
      <w:rPr>
        <w:rFonts w:hint="eastAsia"/>
      </w:rPr>
      <w:t xml:space="preserve">                                </w:t>
    </w:r>
    <w:r>
      <w:rPr>
        <w:rFonts w:hint="eastAsia"/>
        <w:sz w:val="21"/>
        <w:szCs w:val="21"/>
      </w:rPr>
      <w:t>2026第八届全球校园人工智能算法精英大赛</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E87A">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70F47">
    <w:pPr>
      <w:tabs>
        <w:tab w:val="center" w:pos="4153"/>
        <w:tab w:val="right" w:pos="8306"/>
      </w:tabs>
      <w:spacing w:line="240" w:lineRule="auto"/>
      <w:ind w:firstLine="0" w:firstLineChars="0"/>
    </w:pPr>
    <w:r>
      <w:rPr>
        <w:rFonts w:hint="eastAsia"/>
      </w:rPr>
      <w:pict>
        <v:shape id="_x0000_i1025" o:spt="75" alt="AIC方形logo@16x" type="#_x0000_t75" style="height:15pt;width:31.55pt;" filled="f" o:preferrelative="t" stroked="f" coordsize="21600,21600">
          <v:path/>
          <v:fill on="f" focussize="0,0"/>
          <v:stroke on="f" joinstyle="miter"/>
          <v:imagedata r:id="rId1" cropbottom="17421f" o:title=""/>
          <o:lock v:ext="edit" aspectratio="t"/>
          <w10:wrap type="none"/>
          <w10:anchorlock/>
        </v:shape>
      </w:pict>
    </w:r>
    <w:r>
      <w:rPr>
        <w:rFonts w:hint="eastAsia"/>
      </w:rPr>
      <w:t xml:space="preserve">                                    2026第八届全球校园人工智能算法精英大赛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TrackMoves/>
  <w:documentProtection w:enforcement="0"/>
  <w:defaultTabStop w:val="840"/>
  <w:drawingGridHorizontalSpacing w:val="240"/>
  <w:drawingGridVerticalSpacing w:val="167"/>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4228B"/>
    <w:rsid w:val="000463B1"/>
    <w:rsid w:val="000C5039"/>
    <w:rsid w:val="00141DF5"/>
    <w:rsid w:val="00164C7F"/>
    <w:rsid w:val="001976CF"/>
    <w:rsid w:val="001E5AAF"/>
    <w:rsid w:val="0024228B"/>
    <w:rsid w:val="002B0B47"/>
    <w:rsid w:val="00301D53"/>
    <w:rsid w:val="00357554"/>
    <w:rsid w:val="0037059B"/>
    <w:rsid w:val="00403E7F"/>
    <w:rsid w:val="00487CBF"/>
    <w:rsid w:val="0051368C"/>
    <w:rsid w:val="00513D4C"/>
    <w:rsid w:val="005507FF"/>
    <w:rsid w:val="005A006A"/>
    <w:rsid w:val="005C401C"/>
    <w:rsid w:val="00663212"/>
    <w:rsid w:val="006633FC"/>
    <w:rsid w:val="006755D8"/>
    <w:rsid w:val="00677A7D"/>
    <w:rsid w:val="00747DCB"/>
    <w:rsid w:val="00750933"/>
    <w:rsid w:val="00761F90"/>
    <w:rsid w:val="007963C9"/>
    <w:rsid w:val="007D759D"/>
    <w:rsid w:val="00825A26"/>
    <w:rsid w:val="0083435C"/>
    <w:rsid w:val="00852946"/>
    <w:rsid w:val="008D4207"/>
    <w:rsid w:val="00901E32"/>
    <w:rsid w:val="00914A37"/>
    <w:rsid w:val="00956643"/>
    <w:rsid w:val="00977387"/>
    <w:rsid w:val="009A71F7"/>
    <w:rsid w:val="009E29C7"/>
    <w:rsid w:val="00A165AC"/>
    <w:rsid w:val="00A315E5"/>
    <w:rsid w:val="00A653CA"/>
    <w:rsid w:val="00A702A0"/>
    <w:rsid w:val="00A87C2D"/>
    <w:rsid w:val="00B43E77"/>
    <w:rsid w:val="00B65B0C"/>
    <w:rsid w:val="00BB37DD"/>
    <w:rsid w:val="00BD1120"/>
    <w:rsid w:val="00C04A79"/>
    <w:rsid w:val="00CA2171"/>
    <w:rsid w:val="00CC1AA3"/>
    <w:rsid w:val="00D36E57"/>
    <w:rsid w:val="00D96FA1"/>
    <w:rsid w:val="00DF4714"/>
    <w:rsid w:val="00E42131"/>
    <w:rsid w:val="00E432EA"/>
    <w:rsid w:val="00E76B60"/>
    <w:rsid w:val="00E96CE8"/>
    <w:rsid w:val="00EB27F2"/>
    <w:rsid w:val="00F05181"/>
    <w:rsid w:val="00F13ED5"/>
    <w:rsid w:val="00F3236C"/>
    <w:rsid w:val="00F347BD"/>
    <w:rsid w:val="00F52BBF"/>
    <w:rsid w:val="00FB2BD1"/>
    <w:rsid w:val="00FE154E"/>
    <w:rsid w:val="011F76EC"/>
    <w:rsid w:val="0221260B"/>
    <w:rsid w:val="03C74374"/>
    <w:rsid w:val="066F3645"/>
    <w:rsid w:val="0870581B"/>
    <w:rsid w:val="08CC5F7D"/>
    <w:rsid w:val="0A8551CF"/>
    <w:rsid w:val="12955E7E"/>
    <w:rsid w:val="134E1905"/>
    <w:rsid w:val="14DD3B69"/>
    <w:rsid w:val="1B330838"/>
    <w:rsid w:val="1BAD3947"/>
    <w:rsid w:val="1C20323A"/>
    <w:rsid w:val="1F1E6B1C"/>
    <w:rsid w:val="29F36C5E"/>
    <w:rsid w:val="2D8828F9"/>
    <w:rsid w:val="311B7830"/>
    <w:rsid w:val="31786C7B"/>
    <w:rsid w:val="34421F20"/>
    <w:rsid w:val="353739F2"/>
    <w:rsid w:val="38A81BB8"/>
    <w:rsid w:val="3C062FB8"/>
    <w:rsid w:val="3E2E2B5F"/>
    <w:rsid w:val="425202CC"/>
    <w:rsid w:val="451F4474"/>
    <w:rsid w:val="46107152"/>
    <w:rsid w:val="475278BE"/>
    <w:rsid w:val="4A631F37"/>
    <w:rsid w:val="4D10183F"/>
    <w:rsid w:val="534D0334"/>
    <w:rsid w:val="53755FB2"/>
    <w:rsid w:val="53D44DEF"/>
    <w:rsid w:val="5723151E"/>
    <w:rsid w:val="5BEF1FE7"/>
    <w:rsid w:val="6D6D1F81"/>
    <w:rsid w:val="732A50AC"/>
    <w:rsid w:val="74DF584C"/>
    <w:rsid w:val="758E6242"/>
    <w:rsid w:val="76F00AB3"/>
    <w:rsid w:val="798F6B00"/>
    <w:rsid w:val="7F1A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40" w:firstLineChars="200"/>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9"/>
    <w:pPr>
      <w:keepNext/>
      <w:keepLines/>
      <w:spacing w:before="10" w:after="10" w:line="240" w:lineRule="auto"/>
      <w:ind w:firstLine="880"/>
      <w:outlineLvl w:val="0"/>
    </w:pPr>
    <w:rPr>
      <w:b/>
      <w:kern w:val="44"/>
      <w:sz w:val="32"/>
    </w:rPr>
  </w:style>
  <w:style w:type="paragraph" w:styleId="3">
    <w:name w:val="heading 2"/>
    <w:basedOn w:val="1"/>
    <w:next w:val="1"/>
    <w:qFormat/>
    <w:uiPriority w:val="9"/>
    <w:pPr>
      <w:keepNext/>
      <w:keepLines/>
      <w:spacing w:line="240" w:lineRule="auto"/>
      <w:outlineLvl w:val="1"/>
    </w:pPr>
    <w:rPr>
      <w:rFonts w:ascii="Arial" w:hAnsi="Arial"/>
      <w:b/>
      <w:sz w:val="28"/>
    </w:rPr>
  </w:style>
  <w:style w:type="paragraph" w:styleId="4">
    <w:name w:val="heading 3"/>
    <w:basedOn w:val="1"/>
    <w:next w:val="1"/>
    <w:link w:val="18"/>
    <w:qFormat/>
    <w:uiPriority w:val="9"/>
    <w:pPr>
      <w:keepNext/>
      <w:keepLines/>
      <w:spacing w:line="240" w:lineRule="auto"/>
      <w:ind w:firstLine="880"/>
      <w:outlineLvl w:val="2"/>
    </w:pPr>
    <w:rPr>
      <w:b/>
    </w:rPr>
  </w:style>
  <w:style w:type="paragraph" w:styleId="5">
    <w:name w:val="heading 4"/>
    <w:basedOn w:val="1"/>
    <w:next w:val="1"/>
    <w:qFormat/>
    <w:uiPriority w:val="9"/>
    <w:pPr>
      <w:keepNext/>
      <w:keepLines/>
      <w:ind w:firstLine="0" w:firstLineChars="0"/>
      <w:outlineLvl w:val="3"/>
    </w:pPr>
    <w:rPr>
      <w:rFonts w:ascii="Arial" w:hAnsi="Arial"/>
      <w:sz w:val="21"/>
    </w:rPr>
  </w:style>
  <w:style w:type="character" w:default="1" w:styleId="16">
    <w:name w:val="Default Paragraph Font"/>
    <w:unhideWhenUsed/>
    <w:uiPriority w:val="1"/>
  </w:style>
  <w:style w:type="table" w:default="1" w:styleId="15">
    <w:name w:val="Normal Table"/>
    <w:unhideWhenUsed/>
    <w:uiPriority w:val="99"/>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Balloon Text"/>
    <w:basedOn w:val="1"/>
    <w:link w:val="19"/>
    <w:unhideWhenUsed/>
    <w:uiPriority w:val="99"/>
    <w:rPr>
      <w:sz w:val="18"/>
      <w:szCs w:val="18"/>
    </w:rPr>
  </w:style>
  <w:style w:type="paragraph" w:styleId="8">
    <w:name w:val="footer"/>
    <w:basedOn w:val="1"/>
    <w:uiPriority w:val="0"/>
    <w:pPr>
      <w:tabs>
        <w:tab w:val="center" w:pos="4153"/>
        <w:tab w:val="right" w:pos="8306"/>
      </w:tabs>
      <w:snapToGrid w:val="0"/>
    </w:pPr>
    <w:rPr>
      <w:sz w:val="18"/>
    </w:rPr>
  </w:style>
  <w:style w:type="paragraph" w:styleId="9">
    <w:name w:val="header"/>
    <w:basedOn w:val="1"/>
    <w:link w:val="22"/>
    <w:uiPriority w:val="0"/>
    <w:pPr>
      <w:tabs>
        <w:tab w:val="center" w:pos="4153"/>
        <w:tab w:val="right" w:pos="8306"/>
      </w:tabs>
      <w:snapToGrid w:val="0"/>
      <w:spacing w:line="240" w:lineRule="auto"/>
      <w:jc w:val="center"/>
    </w:pPr>
    <w:rPr>
      <w:sz w:val="18"/>
      <w:szCs w:val="18"/>
    </w:rPr>
  </w:style>
  <w:style w:type="paragraph" w:styleId="10">
    <w:name w:val="toc 1"/>
    <w:basedOn w:val="1"/>
    <w:next w:val="1"/>
    <w:qFormat/>
    <w:uiPriority w:val="39"/>
    <w:pPr>
      <w:tabs>
        <w:tab w:val="right" w:leader="dot" w:pos="8296"/>
      </w:tabs>
      <w:ind w:firstLine="0" w:firstLineChars="0"/>
    </w:pPr>
    <w:rPr>
      <w:rFonts w:eastAsia="黑体"/>
    </w:rPr>
  </w:style>
  <w:style w:type="paragraph" w:styleId="11">
    <w:name w:val="Subtitle"/>
    <w:basedOn w:val="1"/>
    <w:next w:val="1"/>
    <w:link w:val="20"/>
    <w:qFormat/>
    <w:uiPriority w:val="11"/>
    <w:pPr>
      <w:spacing w:before="240" w:after="60" w:line="312" w:lineRule="auto"/>
      <w:jc w:val="center"/>
      <w:outlineLvl w:val="1"/>
    </w:pPr>
    <w:rPr>
      <w:rFonts w:ascii="等线 Light" w:hAnsi="等线 Light"/>
      <w:b/>
      <w:bCs/>
      <w:kern w:val="28"/>
      <w:sz w:val="32"/>
      <w:szCs w:val="32"/>
    </w:rPr>
  </w:style>
  <w:style w:type="paragraph" w:styleId="12">
    <w:name w:val="toc 2"/>
    <w:basedOn w:val="1"/>
    <w:next w:val="1"/>
    <w:unhideWhenUsed/>
    <w:uiPriority w:val="39"/>
    <w:pPr>
      <w:tabs>
        <w:tab w:val="right" w:leader="dot" w:pos="7927"/>
      </w:tabs>
      <w:ind w:firstLine="880"/>
      <w:jc w:val="right"/>
    </w:pPr>
  </w:style>
  <w:style w:type="paragraph" w:styleId="13">
    <w:name w:val="Normal (Web)"/>
    <w:basedOn w:val="1"/>
    <w:unhideWhenUsed/>
    <w:uiPriority w:val="99"/>
    <w:pPr>
      <w:widowControl/>
      <w:spacing w:beforeAutospacing="1" w:afterAutospacing="1"/>
    </w:pPr>
    <w:rPr>
      <w:rFonts w:ascii="宋体" w:hAnsi="宋体"/>
      <w:kern w:val="0"/>
    </w:rPr>
  </w:style>
  <w:style w:type="paragraph" w:styleId="14">
    <w:name w:val="Title"/>
    <w:basedOn w:val="1"/>
    <w:next w:val="1"/>
    <w:link w:val="21"/>
    <w:qFormat/>
    <w:uiPriority w:val="10"/>
    <w:pPr>
      <w:spacing w:before="240" w:after="60"/>
      <w:jc w:val="center"/>
      <w:outlineLvl w:val="0"/>
    </w:pPr>
    <w:rPr>
      <w:rFonts w:ascii="等线 Light" w:hAnsi="等线 Light"/>
      <w:b/>
      <w:bCs/>
      <w:sz w:val="44"/>
      <w:szCs w:val="32"/>
    </w:rPr>
  </w:style>
  <w:style w:type="character" w:styleId="17">
    <w:name w:val="Hyperlink"/>
    <w:unhideWhenUsed/>
    <w:uiPriority w:val="99"/>
    <w:rPr>
      <w:color w:val="0563C1"/>
      <w:u w:val="single"/>
    </w:rPr>
  </w:style>
  <w:style w:type="character" w:customStyle="1" w:styleId="18">
    <w:name w:val="标题 3 字符"/>
    <w:link w:val="4"/>
    <w:uiPriority w:val="9"/>
    <w:rPr>
      <w:b/>
    </w:rPr>
  </w:style>
  <w:style w:type="character" w:customStyle="1" w:styleId="19">
    <w:name w:val="批注框文本 字符"/>
    <w:link w:val="7"/>
    <w:semiHidden/>
    <w:uiPriority w:val="99"/>
    <w:rPr>
      <w:sz w:val="18"/>
      <w:szCs w:val="18"/>
    </w:rPr>
  </w:style>
  <w:style w:type="character" w:customStyle="1" w:styleId="20">
    <w:name w:val="副标题 字符"/>
    <w:link w:val="11"/>
    <w:uiPriority w:val="11"/>
    <w:rPr>
      <w:rFonts w:ascii="等线 Light" w:hAnsi="等线 Light" w:cs="Times New Roman"/>
      <w:b/>
      <w:bCs/>
      <w:kern w:val="28"/>
      <w:sz w:val="32"/>
      <w:szCs w:val="32"/>
    </w:rPr>
  </w:style>
  <w:style w:type="character" w:customStyle="1" w:styleId="21">
    <w:name w:val="标题 字符"/>
    <w:link w:val="14"/>
    <w:uiPriority w:val="10"/>
    <w:rPr>
      <w:rFonts w:ascii="等线 Light" w:hAnsi="等线 Light" w:eastAsia="宋体" w:cs="Times New Roman"/>
      <w:b/>
      <w:bCs/>
      <w:kern w:val="2"/>
      <w:sz w:val="44"/>
      <w:szCs w:val="32"/>
    </w:rPr>
  </w:style>
  <w:style w:type="character" w:customStyle="1" w:styleId="22">
    <w:name w:val="页眉 字符"/>
    <w:basedOn w:val="16"/>
    <w:link w:val="9"/>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image" Target="media/image11.pn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jpe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 R C</Company>
  <Pages>20</Pages>
  <Words>4271</Words>
  <Characters>4871</Characters>
  <Lines>11</Lines>
  <Paragraphs>3</Paragraphs>
  <TotalTime>0</TotalTime>
  <ScaleCrop>false</ScaleCrop>
  <LinksUpToDate>false</LinksUpToDate>
  <CharactersWithSpaces>5218</CharactersWithSpaces>
  <Application>WPS Office_12.1.0.28505_F1E327BC-269C-435d-A152-05C5408002CA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2026-09-14T10:34:00Z</dcterms:created>
  <dc:creator>Windows User</dc:creator>
  <cp:lastModifiedBy>WPS_1226477341</cp:lastModifiedBy>
  <dcterms:modified xsi:type="dcterms:W3CDTF">2026-09-24T12:46:44Z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eyJoZGlkIjoiMDQxYjhhYjlkMjQyNWY1YTBiZjJjYjBlZTI5MTgzMDkiLCJ1c2VySWQiOiIxMjI2NDc3MzQxIn0=</vt:lpwstr>
  </property>
  <property fmtid="{D5CDD505-2E9C-101B-9397-08002B2CF9AE}" pid="3" name="KSOProductBuildVer">
    <vt:lpwstr>2052-12.1.0.28505</vt:lpwstr>
  </property>
  <property fmtid="{D5CDD505-2E9C-101B-9397-08002B2CF9AE}" pid="4" name="ICV">
    <vt:lpwstr>DACA659879734AFCB988ED74E26BFAA7_13</vt:lpwstr>
  </property>
</Properties>
</file>