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eastAsia="Microsoft YaHei"/>
          <w:b/>
          <w:color w:val="172033"/>
          <w:sz w:val="48"/>
        </w:rPr>
        <w:t>声音工程对比基准报告</w:t>
      </w:r>
    </w:p>
    <w:p>
      <w:pPr>
        <w:spacing w:after="280"/>
      </w:pPr>
      <w:r>
        <w:rPr>
          <w:rFonts w:ascii="Calibri" w:hAnsi="Calibri" w:eastAsia="Microsoft YaHei"/>
          <w:b/>
          <w:color w:val="007C91"/>
          <w:sz w:val="26"/>
        </w:rPr>
        <w:t>HPDI低温泵 | 东德竞品基准与富瑞初始状态</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shd w:fill="F2F4F7"/>
          </w:tcPr>
          <w:p>
            <w:pPr>
              <w:spacing w:before="0" w:after="0" w:line="264" w:lineRule="auto"/>
              <w:jc w:val="left"/>
            </w:pPr>
            <w:r/>
            <w:r>
              <w:rPr>
                <w:rFonts w:ascii="Calibri" w:hAnsi="Calibri" w:eastAsia="Microsoft YaHei"/>
                <w:b/>
                <w:color w:val="1F4D78"/>
                <w:sz w:val="19"/>
              </w:rPr>
              <w:t>比较对象</w:t>
            </w:r>
          </w:p>
        </w:tc>
        <w:tc>
          <w:tcPr>
            <w:tcW w:type="dxa" w:w="7560"/>
            <w:tcMar>
              <w:top w:w="80" w:type="dxa"/>
              <w:start w:w="120" w:type="dxa"/>
              <w:bottom w:w="80" w:type="dxa"/>
              <w:end w:w="120" w:type="dxa"/>
            </w:tcMar>
            <w:vAlign w:val="center"/>
          </w:tcPr>
          <w:p>
            <w:pPr>
              <w:spacing w:before="0" w:after="0" w:line="264" w:lineRule="auto"/>
              <w:jc w:val="left"/>
            </w:pPr>
            <w:r/>
            <w:r>
              <w:rPr>
                <w:rFonts w:ascii="Calibri" w:hAnsi="Calibri" w:eastAsia="Microsoft YaHei"/>
                <w:b w:val="0"/>
                <w:color w:val="172033"/>
                <w:sz w:val="19"/>
              </w:rPr>
              <w:t>东德泵 2026-07-07 / 富瑞泵初始状态 2026-07-09</w:t>
            </w:r>
          </w:p>
        </w:tc>
      </w:tr>
      <w:tr>
        <w:tc>
          <w:tcPr>
            <w:tcW w:type="dxa" w:w="1800"/>
            <w:tcMar>
              <w:top w:w="80" w:type="dxa"/>
              <w:start w:w="120" w:type="dxa"/>
              <w:bottom w:w="80" w:type="dxa"/>
              <w:end w:w="120" w:type="dxa"/>
            </w:tcMar>
            <w:vAlign w:val="center"/>
            <w:shd w:fill="F2F4F7"/>
          </w:tcPr>
          <w:p>
            <w:pPr>
              <w:spacing w:before="0" w:after="0" w:line="264" w:lineRule="auto"/>
              <w:jc w:val="left"/>
            </w:pPr>
            <w:r/>
            <w:r>
              <w:rPr>
                <w:rFonts w:ascii="Calibri" w:hAnsi="Calibri" w:eastAsia="Microsoft YaHei"/>
                <w:b/>
                <w:color w:val="1F4D78"/>
                <w:sz w:val="19"/>
              </w:rPr>
              <w:t>比较原则</w:t>
            </w:r>
          </w:p>
        </w:tc>
        <w:tc>
          <w:tcPr>
            <w:tcW w:type="dxa" w:w="7560"/>
            <w:tcMar>
              <w:top w:w="80" w:type="dxa"/>
              <w:start w:w="120" w:type="dxa"/>
              <w:bottom w:w="80" w:type="dxa"/>
              <w:end w:w="120" w:type="dxa"/>
            </w:tcMar>
            <w:vAlign w:val="center"/>
          </w:tcPr>
          <w:p>
            <w:pPr>
              <w:spacing w:before="0" w:after="0" w:line="264" w:lineRule="auto"/>
              <w:jc w:val="left"/>
            </w:pPr>
            <w:r/>
            <w:r>
              <w:rPr>
                <w:rFonts w:ascii="Calibri" w:hAnsi="Calibri" w:eastAsia="Microsoft YaHei"/>
                <w:b w:val="0"/>
                <w:color w:val="172033"/>
                <w:sz w:val="19"/>
              </w:rPr>
              <w:t>相同转速、相同手机、相同录制角度和距离</w:t>
            </w:r>
          </w:p>
        </w:tc>
      </w:tr>
      <w:tr>
        <w:tc>
          <w:tcPr>
            <w:tcW w:type="dxa" w:w="1800"/>
            <w:tcMar>
              <w:top w:w="80" w:type="dxa"/>
              <w:start w:w="120" w:type="dxa"/>
              <w:bottom w:w="80" w:type="dxa"/>
              <w:end w:w="120" w:type="dxa"/>
            </w:tcMar>
            <w:vAlign w:val="center"/>
            <w:shd w:fill="F2F4F7"/>
          </w:tcPr>
          <w:p>
            <w:pPr>
              <w:spacing w:before="0" w:after="0" w:line="264" w:lineRule="auto"/>
              <w:jc w:val="left"/>
            </w:pPr>
            <w:r/>
            <w:r>
              <w:rPr>
                <w:rFonts w:ascii="Calibri" w:hAnsi="Calibri" w:eastAsia="Microsoft YaHei"/>
                <w:b/>
                <w:color w:val="1F4D78"/>
                <w:sz w:val="19"/>
              </w:rPr>
              <w:t>报告版本</w:t>
            </w:r>
          </w:p>
        </w:tc>
        <w:tc>
          <w:tcPr>
            <w:tcW w:type="dxa" w:w="7560"/>
            <w:tcMar>
              <w:top w:w="80" w:type="dxa"/>
              <w:start w:w="120" w:type="dxa"/>
              <w:bottom w:w="80" w:type="dxa"/>
              <w:end w:w="120" w:type="dxa"/>
            </w:tcMar>
            <w:vAlign w:val="center"/>
          </w:tcPr>
          <w:p>
            <w:pPr>
              <w:spacing w:before="0" w:after="0" w:line="264" w:lineRule="auto"/>
              <w:jc w:val="left"/>
            </w:pPr>
            <w:r/>
            <w:r>
              <w:rPr>
                <w:rFonts w:ascii="Calibri" w:hAnsi="Calibri" w:eastAsia="Microsoft YaHei"/>
                <w:b w:val="0"/>
                <w:color w:val="172033"/>
                <w:sz w:val="19"/>
              </w:rPr>
              <w:t>基准版 V2 | 2026-07-23</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EF3C7"/>
          </w:tcPr>
          <w:p>
            <w:pPr>
              <w:spacing w:after="0" w:line="288" w:lineRule="auto"/>
            </w:pPr>
            <w:r>
              <w:rPr>
                <w:rFonts w:ascii="Calibri" w:hAnsi="Calibri" w:eastAsia="Microsoft YaHei"/>
                <w:b/>
                <w:color w:val="1F4D78"/>
                <w:sz w:val="22"/>
              </w:rPr>
              <w:t xml:space="preserve">核心结论  </w:t>
            </w:r>
            <w:r>
              <w:rPr>
                <w:rFonts w:ascii="Calibri" w:hAnsi="Calibri" w:eastAsia="Microsoft YaHei"/>
                <w:color w:val="172033"/>
                <w:sz w:val="22"/>
              </w:rPr>
              <w:t>富瑞初始状态尚未在全部转速稳定优于东德。800 rpm 表现较好；700 rpm 的常见声略低，但偏响周期仍略高；900 rpm 和 1125 rpm 明显偏响，是后续优化重点。</w:t>
            </w:r>
          </w:p>
        </w:tc>
      </w:tr>
    </w:tbl>
    <w:p>
      <w:pPr>
        <w:spacing w:after="40"/>
      </w:pPr>
    </w:p>
    <w:p>
      <w:pPr>
        <w:pStyle w:val="Heading1"/>
        <w:keepNext/>
      </w:pPr>
      <w:r>
        <w:rPr>
          <w:rFonts w:ascii="Calibri" w:hAnsi="Calibri" w:eastAsia="Microsoft YaHei"/>
        </w:rPr>
        <w:t>1. 客户一眼能看懂的结果</w:t>
      </w:r>
    </w:p>
    <w:tbl>
      <w:tblPr>
        <w:tblW w:type="dxa" w:w="9360"/>
        <w:jc w:val="left"/>
        <w:tblLayout w:type="fixed"/>
        <w:tblLook w:firstColumn="1" w:firstRow="1" w:lastColumn="0" w:lastRow="0" w:noHBand="0" w:noVBand="1" w:val="04A0"/>
        <w:tblInd w:w="120" w:type="dxa"/>
      </w:tblPr>
      <w:tblGrid>
        <w:gridCol w:w="900"/>
        <w:gridCol w:w="1500"/>
        <w:gridCol w:w="1500"/>
        <w:gridCol w:w="1500"/>
        <w:gridCol w:w="1560"/>
        <w:gridCol w:w="2400"/>
      </w:tblGrid>
      <w:tr>
        <w:tc>
          <w:tcPr>
            <w:tcW w:type="dxa" w:w="900"/>
            <w:shd w:fill="1F4D78"/>
            <w:tcMar>
              <w:top w:w="80" w:type="dxa"/>
              <w:start w:w="120" w:type="dxa"/>
              <w:bottom w:w="80" w:type="dxa"/>
              <w:end w:w="120" w:type="dxa"/>
            </w:tcMar>
            <w:vAlign w:val="center"/>
          </w:tcPr>
          <w:p>
            <w:pPr>
              <w:spacing w:before="0" w:after="0" w:line="264" w:lineRule="auto"/>
              <w:jc w:val="center"/>
            </w:pPr>
            <w:r/>
            <w:r>
              <w:rPr>
                <w:rFonts w:ascii="Calibri" w:hAnsi="Calibri" w:eastAsia="Microsoft YaHei"/>
                <w:b/>
                <w:color w:val="FFFFFF"/>
                <w:sz w:val="18"/>
              </w:rPr>
              <w:t>转速</w:t>
            </w:r>
          </w:p>
        </w:tc>
        <w:tc>
          <w:tcPr>
            <w:tcW w:type="dxa" w:w="1500"/>
            <w:shd w:fill="1F4D78"/>
            <w:tcMar>
              <w:top w:w="80" w:type="dxa"/>
              <w:start w:w="120" w:type="dxa"/>
              <w:bottom w:w="80" w:type="dxa"/>
              <w:end w:w="120" w:type="dxa"/>
            </w:tcMar>
            <w:vAlign w:val="center"/>
          </w:tcPr>
          <w:p>
            <w:pPr>
              <w:spacing w:before="0" w:after="0" w:line="264" w:lineRule="auto"/>
              <w:jc w:val="center"/>
            </w:pPr>
            <w:r/>
            <w:r>
              <w:rPr>
                <w:rFonts w:ascii="Calibri" w:hAnsi="Calibri" w:eastAsia="Microsoft YaHei"/>
                <w:b/>
                <w:color w:val="FFFFFF"/>
                <w:sz w:val="18"/>
              </w:rPr>
              <w:t>常见咚声</w:t>
            </w:r>
          </w:p>
        </w:tc>
        <w:tc>
          <w:tcPr>
            <w:tcW w:type="dxa" w:w="1500"/>
            <w:shd w:fill="1F4D78"/>
            <w:tcMar>
              <w:top w:w="80" w:type="dxa"/>
              <w:start w:w="120" w:type="dxa"/>
              <w:bottom w:w="80" w:type="dxa"/>
              <w:end w:w="120" w:type="dxa"/>
            </w:tcMar>
            <w:vAlign w:val="center"/>
          </w:tcPr>
          <w:p>
            <w:pPr>
              <w:spacing w:before="0" w:after="0" w:line="264" w:lineRule="auto"/>
              <w:jc w:val="center"/>
            </w:pPr>
            <w:r/>
            <w:r>
              <w:rPr>
                <w:rFonts w:ascii="Calibri" w:hAnsi="Calibri" w:eastAsia="Microsoft YaHei"/>
                <w:b/>
                <w:color w:val="FFFFFF"/>
                <w:sz w:val="18"/>
              </w:rPr>
              <w:t>较响咚声</w:t>
            </w:r>
          </w:p>
        </w:tc>
        <w:tc>
          <w:tcPr>
            <w:tcW w:type="dxa" w:w="1500"/>
            <w:shd w:fill="1F4D78"/>
            <w:tcMar>
              <w:top w:w="80" w:type="dxa"/>
              <w:start w:w="120" w:type="dxa"/>
              <w:bottom w:w="80" w:type="dxa"/>
              <w:end w:w="120" w:type="dxa"/>
            </w:tcMar>
            <w:vAlign w:val="center"/>
          </w:tcPr>
          <w:p>
            <w:pPr>
              <w:spacing w:before="0" w:after="0" w:line="264" w:lineRule="auto"/>
              <w:jc w:val="center"/>
            </w:pPr>
            <w:r/>
            <w:r>
              <w:rPr>
                <w:rFonts w:ascii="Calibri" w:hAnsi="Calibri" w:eastAsia="Microsoft YaHei"/>
                <w:b/>
                <w:color w:val="FFFFFF"/>
                <w:sz w:val="18"/>
              </w:rPr>
              <w:t>超过东德较响门槛</w:t>
            </w:r>
          </w:p>
        </w:tc>
        <w:tc>
          <w:tcPr>
            <w:tcW w:type="dxa" w:w="1560"/>
            <w:shd w:fill="1F4D78"/>
            <w:tcMar>
              <w:top w:w="80" w:type="dxa"/>
              <w:start w:w="120" w:type="dxa"/>
              <w:bottom w:w="80" w:type="dxa"/>
              <w:end w:w="120" w:type="dxa"/>
            </w:tcMar>
            <w:vAlign w:val="center"/>
          </w:tcPr>
          <w:p>
            <w:pPr>
              <w:spacing w:before="0" w:after="0" w:line="264" w:lineRule="auto"/>
              <w:jc w:val="center"/>
            </w:pPr>
            <w:r/>
            <w:r>
              <w:rPr>
                <w:rFonts w:ascii="Calibri" w:hAnsi="Calibri" w:eastAsia="Microsoft YaHei"/>
                <w:b/>
                <w:color w:val="FFFFFF"/>
                <w:sz w:val="18"/>
              </w:rPr>
              <w:t>判断</w:t>
            </w:r>
          </w:p>
        </w:tc>
        <w:tc>
          <w:tcPr>
            <w:tcW w:type="dxa" w:w="2400"/>
            <w:shd w:fill="1F4D78"/>
            <w:tcMar>
              <w:top w:w="80" w:type="dxa"/>
              <w:start w:w="120" w:type="dxa"/>
              <w:bottom w:w="80" w:type="dxa"/>
              <w:end w:w="120" w:type="dxa"/>
            </w:tcMar>
            <w:vAlign w:val="center"/>
          </w:tcPr>
          <w:p>
            <w:pPr>
              <w:spacing w:before="0" w:after="0" w:line="264" w:lineRule="auto"/>
              <w:jc w:val="center"/>
            </w:pPr>
            <w:r/>
            <w:r>
              <w:rPr>
                <w:rFonts w:ascii="Calibri" w:hAnsi="Calibri" w:eastAsia="Microsoft YaHei"/>
                <w:b/>
                <w:color w:val="FFFFFF"/>
                <w:sz w:val="18"/>
              </w:rPr>
              <w:t>建议</w:t>
            </w:r>
          </w:p>
        </w:tc>
      </w:tr>
      <w:tr>
        <w:tc>
          <w:tcPr>
            <w:tcW w:type="dxa" w:w="900"/>
            <w:tcMar>
              <w:top w:w="80" w:type="dxa"/>
              <w:start w:w="120" w:type="dxa"/>
              <w:bottom w:w="80" w:type="dxa"/>
              <w:end w:w="120" w:type="dxa"/>
            </w:tcMar>
            <w:vAlign w:val="center"/>
          </w:tcPr>
          <w:p>
            <w:pPr>
              <w:spacing w:before="0" w:after="0" w:line="264" w:lineRule="auto"/>
              <w:jc w:val="center"/>
            </w:pPr>
            <w:r/>
            <w:r>
              <w:rPr>
                <w:rFonts w:ascii="Calibri" w:hAnsi="Calibri" w:eastAsia="Microsoft YaHei"/>
                <w:b/>
                <w:color w:val="172033"/>
                <w:sz w:val="17"/>
              </w:rPr>
              <w:t>700 rpm</w:t>
            </w:r>
          </w:p>
        </w:tc>
        <w:tc>
          <w:tcPr>
            <w:tcW w:type="dxa" w:w="1500"/>
            <w:tcMar>
              <w:top w:w="80" w:type="dxa"/>
              <w:start w:w="120" w:type="dxa"/>
              <w:bottom w:w="80" w:type="dxa"/>
              <w:end w:w="120" w:type="dxa"/>
            </w:tcMar>
            <w:vAlign w:val="center"/>
          </w:tcPr>
          <w:p>
            <w:pPr>
              <w:spacing w:before="0" w:after="0" w:line="264" w:lineRule="auto"/>
              <w:jc w:val="center"/>
            </w:pPr>
            <w:r/>
            <w:r>
              <w:rPr>
                <w:rFonts w:ascii="Calibri" w:hAnsi="Calibri" w:eastAsia="Microsoft YaHei"/>
                <w:b w:val="0"/>
                <w:color w:val="172033"/>
                <w:sz w:val="17"/>
              </w:rPr>
              <w:t>低于东德 1.2 dB</w:t>
            </w:r>
          </w:p>
        </w:tc>
        <w:tc>
          <w:tcPr>
            <w:tcW w:type="dxa" w:w="1500"/>
            <w:tcMar>
              <w:top w:w="80" w:type="dxa"/>
              <w:start w:w="120" w:type="dxa"/>
              <w:bottom w:w="80" w:type="dxa"/>
              <w:end w:w="120" w:type="dxa"/>
            </w:tcMar>
            <w:vAlign w:val="center"/>
          </w:tcPr>
          <w:p>
            <w:pPr>
              <w:spacing w:before="0" w:after="0" w:line="264" w:lineRule="auto"/>
              <w:jc w:val="center"/>
            </w:pPr>
            <w:r/>
            <w:r>
              <w:rPr>
                <w:rFonts w:ascii="Calibri" w:hAnsi="Calibri" w:eastAsia="Microsoft YaHei"/>
                <w:b w:val="0"/>
                <w:color w:val="172033"/>
                <w:sz w:val="17"/>
              </w:rPr>
              <w:t>高于东德 1.8 dB</w:t>
            </w:r>
          </w:p>
        </w:tc>
        <w:tc>
          <w:tcPr>
            <w:tcW w:type="dxa" w:w="1500"/>
            <w:tcMar>
              <w:top w:w="80" w:type="dxa"/>
              <w:start w:w="120" w:type="dxa"/>
              <w:bottom w:w="80" w:type="dxa"/>
              <w:end w:w="120" w:type="dxa"/>
            </w:tcMar>
            <w:vAlign w:val="center"/>
          </w:tcPr>
          <w:p>
            <w:pPr>
              <w:spacing w:before="0" w:after="0" w:line="264" w:lineRule="auto"/>
              <w:jc w:val="center"/>
            </w:pPr>
            <w:r/>
            <w:r>
              <w:rPr>
                <w:rFonts w:ascii="Calibri" w:hAnsi="Calibri" w:eastAsia="Microsoft YaHei"/>
                <w:b w:val="0"/>
                <w:color w:val="172033"/>
                <w:sz w:val="17"/>
              </w:rPr>
              <w:t>11.5%</w:t>
            </w:r>
          </w:p>
        </w:tc>
        <w:tc>
          <w:tcPr>
            <w:tcW w:type="dxa" w:w="1560"/>
            <w:shd w:fill="FEF3C7"/>
            <w:tcMar>
              <w:top w:w="80" w:type="dxa"/>
              <w:start w:w="120" w:type="dxa"/>
              <w:bottom w:w="80" w:type="dxa"/>
              <w:end w:w="120" w:type="dxa"/>
            </w:tcMar>
            <w:vAlign w:val="center"/>
          </w:tcPr>
          <w:p>
            <w:pPr>
              <w:spacing w:before="0" w:after="0" w:line="264" w:lineRule="auto"/>
              <w:jc w:val="center"/>
            </w:pPr>
            <w:r/>
            <w:r>
              <w:rPr>
                <w:rFonts w:ascii="Calibri" w:hAnsi="Calibri" w:eastAsia="Microsoft YaHei"/>
                <w:b/>
                <w:color w:val="172033"/>
                <w:sz w:val="17"/>
              </w:rPr>
              <w:t>接近基准</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Microsoft YaHei"/>
                <w:b w:val="0"/>
                <w:color w:val="172033"/>
                <w:sz w:val="17"/>
              </w:rPr>
              <w:t>降低偶发较响周期</w:t>
            </w:r>
          </w:p>
        </w:tc>
      </w:tr>
      <w:tr>
        <w:tc>
          <w:tcPr>
            <w:tcW w:type="dxa" w:w="900"/>
            <w:tcMar>
              <w:top w:w="80" w:type="dxa"/>
              <w:start w:w="120" w:type="dxa"/>
              <w:bottom w:w="80" w:type="dxa"/>
              <w:end w:w="120" w:type="dxa"/>
            </w:tcMar>
            <w:vAlign w:val="center"/>
          </w:tcPr>
          <w:p>
            <w:pPr>
              <w:spacing w:before="0" w:after="0" w:line="264" w:lineRule="auto"/>
              <w:jc w:val="center"/>
            </w:pPr>
            <w:r/>
            <w:r>
              <w:rPr>
                <w:rFonts w:ascii="Calibri" w:hAnsi="Calibri" w:eastAsia="Microsoft YaHei"/>
                <w:b/>
                <w:color w:val="172033"/>
                <w:sz w:val="17"/>
              </w:rPr>
              <w:t>800 rpm</w:t>
            </w:r>
          </w:p>
        </w:tc>
        <w:tc>
          <w:tcPr>
            <w:tcW w:type="dxa" w:w="1500"/>
            <w:tcMar>
              <w:top w:w="80" w:type="dxa"/>
              <w:start w:w="120" w:type="dxa"/>
              <w:bottom w:w="80" w:type="dxa"/>
              <w:end w:w="120" w:type="dxa"/>
            </w:tcMar>
            <w:vAlign w:val="center"/>
          </w:tcPr>
          <w:p>
            <w:pPr>
              <w:spacing w:before="0" w:after="0" w:line="264" w:lineRule="auto"/>
              <w:jc w:val="center"/>
            </w:pPr>
            <w:r/>
            <w:r>
              <w:rPr>
                <w:rFonts w:ascii="Calibri" w:hAnsi="Calibri" w:eastAsia="Microsoft YaHei"/>
                <w:b w:val="0"/>
                <w:color w:val="172033"/>
                <w:sz w:val="17"/>
              </w:rPr>
              <w:t>低于东德 7.9 dB</w:t>
            </w:r>
          </w:p>
        </w:tc>
        <w:tc>
          <w:tcPr>
            <w:tcW w:type="dxa" w:w="1500"/>
            <w:tcMar>
              <w:top w:w="80" w:type="dxa"/>
              <w:start w:w="120" w:type="dxa"/>
              <w:bottom w:w="80" w:type="dxa"/>
              <w:end w:w="120" w:type="dxa"/>
            </w:tcMar>
            <w:vAlign w:val="center"/>
          </w:tcPr>
          <w:p>
            <w:pPr>
              <w:spacing w:before="0" w:after="0" w:line="264" w:lineRule="auto"/>
              <w:jc w:val="center"/>
            </w:pPr>
            <w:r/>
            <w:r>
              <w:rPr>
                <w:rFonts w:ascii="Calibri" w:hAnsi="Calibri" w:eastAsia="Microsoft YaHei"/>
                <w:b w:val="0"/>
                <w:color w:val="172033"/>
                <w:sz w:val="17"/>
              </w:rPr>
              <w:t>低于东德 2.3 dB</w:t>
            </w:r>
          </w:p>
        </w:tc>
        <w:tc>
          <w:tcPr>
            <w:tcW w:type="dxa" w:w="1500"/>
            <w:tcMar>
              <w:top w:w="80" w:type="dxa"/>
              <w:start w:w="120" w:type="dxa"/>
              <w:bottom w:w="80" w:type="dxa"/>
              <w:end w:w="120" w:type="dxa"/>
            </w:tcMar>
            <w:vAlign w:val="center"/>
          </w:tcPr>
          <w:p>
            <w:pPr>
              <w:spacing w:before="0" w:after="0" w:line="264" w:lineRule="auto"/>
              <w:jc w:val="center"/>
            </w:pPr>
            <w:r/>
            <w:r>
              <w:rPr>
                <w:rFonts w:ascii="Calibri" w:hAnsi="Calibri" w:eastAsia="Microsoft YaHei"/>
                <w:b w:val="0"/>
                <w:color w:val="172033"/>
                <w:sz w:val="17"/>
              </w:rPr>
              <w:t>5.3%</w:t>
            </w:r>
          </w:p>
        </w:tc>
        <w:tc>
          <w:tcPr>
            <w:tcW w:type="dxa" w:w="1560"/>
            <w:shd w:fill="DCFCE7"/>
            <w:tcMar>
              <w:top w:w="80" w:type="dxa"/>
              <w:start w:w="120" w:type="dxa"/>
              <w:bottom w:w="80" w:type="dxa"/>
              <w:end w:w="120" w:type="dxa"/>
            </w:tcMar>
            <w:vAlign w:val="center"/>
          </w:tcPr>
          <w:p>
            <w:pPr>
              <w:spacing w:before="0" w:after="0" w:line="264" w:lineRule="auto"/>
              <w:jc w:val="center"/>
            </w:pPr>
            <w:r/>
            <w:r>
              <w:rPr>
                <w:rFonts w:ascii="Calibri" w:hAnsi="Calibri" w:eastAsia="Microsoft YaHei"/>
                <w:b/>
                <w:color w:val="172033"/>
                <w:sz w:val="17"/>
              </w:rPr>
              <w:t>优于东德</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Microsoft YaHei"/>
                <w:b w:val="0"/>
                <w:color w:val="172033"/>
                <w:sz w:val="17"/>
              </w:rPr>
              <w:t>保持并做重复验证</w:t>
            </w:r>
          </w:p>
        </w:tc>
      </w:tr>
      <w:tr>
        <w:tc>
          <w:tcPr>
            <w:tcW w:type="dxa" w:w="900"/>
            <w:tcMar>
              <w:top w:w="80" w:type="dxa"/>
              <w:start w:w="120" w:type="dxa"/>
              <w:bottom w:w="80" w:type="dxa"/>
              <w:end w:w="120" w:type="dxa"/>
            </w:tcMar>
            <w:vAlign w:val="center"/>
          </w:tcPr>
          <w:p>
            <w:pPr>
              <w:spacing w:before="0" w:after="0" w:line="264" w:lineRule="auto"/>
              <w:jc w:val="center"/>
            </w:pPr>
            <w:r/>
            <w:r>
              <w:rPr>
                <w:rFonts w:ascii="Calibri" w:hAnsi="Calibri" w:eastAsia="Microsoft YaHei"/>
                <w:b/>
                <w:color w:val="172033"/>
                <w:sz w:val="17"/>
              </w:rPr>
              <w:t>900 rpm</w:t>
            </w:r>
          </w:p>
        </w:tc>
        <w:tc>
          <w:tcPr>
            <w:tcW w:type="dxa" w:w="1500"/>
            <w:tcMar>
              <w:top w:w="80" w:type="dxa"/>
              <w:start w:w="120" w:type="dxa"/>
              <w:bottom w:w="80" w:type="dxa"/>
              <w:end w:w="120" w:type="dxa"/>
            </w:tcMar>
            <w:vAlign w:val="center"/>
          </w:tcPr>
          <w:p>
            <w:pPr>
              <w:spacing w:before="0" w:after="0" w:line="264" w:lineRule="auto"/>
              <w:jc w:val="center"/>
            </w:pPr>
            <w:r/>
            <w:r>
              <w:rPr>
                <w:rFonts w:ascii="Calibri" w:hAnsi="Calibri" w:eastAsia="Microsoft YaHei"/>
                <w:b w:val="0"/>
                <w:color w:val="172033"/>
                <w:sz w:val="17"/>
              </w:rPr>
              <w:t>高于东德 7.6 dB</w:t>
            </w:r>
          </w:p>
        </w:tc>
        <w:tc>
          <w:tcPr>
            <w:tcW w:type="dxa" w:w="1500"/>
            <w:tcMar>
              <w:top w:w="80" w:type="dxa"/>
              <w:start w:w="120" w:type="dxa"/>
              <w:bottom w:w="80" w:type="dxa"/>
              <w:end w:w="120" w:type="dxa"/>
            </w:tcMar>
            <w:vAlign w:val="center"/>
          </w:tcPr>
          <w:p>
            <w:pPr>
              <w:spacing w:before="0" w:after="0" w:line="264" w:lineRule="auto"/>
              <w:jc w:val="center"/>
            </w:pPr>
            <w:r/>
            <w:r>
              <w:rPr>
                <w:rFonts w:ascii="Calibri" w:hAnsi="Calibri" w:eastAsia="Microsoft YaHei"/>
                <w:b w:val="0"/>
                <w:color w:val="172033"/>
                <w:sz w:val="17"/>
              </w:rPr>
              <w:t>高于东德 5.1 dB</w:t>
            </w:r>
          </w:p>
        </w:tc>
        <w:tc>
          <w:tcPr>
            <w:tcW w:type="dxa" w:w="1500"/>
            <w:tcMar>
              <w:top w:w="80" w:type="dxa"/>
              <w:start w:w="120" w:type="dxa"/>
              <w:bottom w:w="80" w:type="dxa"/>
              <w:end w:w="120" w:type="dxa"/>
            </w:tcMar>
            <w:vAlign w:val="center"/>
          </w:tcPr>
          <w:p>
            <w:pPr>
              <w:spacing w:before="0" w:after="0" w:line="264" w:lineRule="auto"/>
              <w:jc w:val="center"/>
            </w:pPr>
            <w:r/>
            <w:r>
              <w:rPr>
                <w:rFonts w:ascii="Calibri" w:hAnsi="Calibri" w:eastAsia="Microsoft YaHei"/>
                <w:b w:val="0"/>
                <w:color w:val="172033"/>
                <w:sz w:val="17"/>
              </w:rPr>
              <w:t>39.6%</w:t>
            </w:r>
          </w:p>
        </w:tc>
        <w:tc>
          <w:tcPr>
            <w:tcW w:type="dxa" w:w="1560"/>
            <w:shd w:fill="FEE2E2"/>
            <w:tcMar>
              <w:top w:w="80" w:type="dxa"/>
              <w:start w:w="120" w:type="dxa"/>
              <w:bottom w:w="80" w:type="dxa"/>
              <w:end w:w="120" w:type="dxa"/>
            </w:tcMar>
            <w:vAlign w:val="center"/>
          </w:tcPr>
          <w:p>
            <w:pPr>
              <w:spacing w:before="0" w:after="0" w:line="264" w:lineRule="auto"/>
              <w:jc w:val="center"/>
            </w:pPr>
            <w:r/>
            <w:r>
              <w:rPr>
                <w:rFonts w:ascii="Calibri" w:hAnsi="Calibri" w:eastAsia="Microsoft YaHei"/>
                <w:b/>
                <w:color w:val="172033"/>
                <w:sz w:val="17"/>
              </w:rPr>
              <w:t>明显偏响</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Microsoft YaHei"/>
                <w:b w:val="0"/>
                <w:color w:val="172033"/>
                <w:sz w:val="17"/>
              </w:rPr>
              <w:t>最高优先级优化</w:t>
            </w:r>
          </w:p>
        </w:tc>
      </w:tr>
      <w:tr>
        <w:tc>
          <w:tcPr>
            <w:tcW w:type="dxa" w:w="900"/>
            <w:tcMar>
              <w:top w:w="80" w:type="dxa"/>
              <w:start w:w="120" w:type="dxa"/>
              <w:bottom w:w="80" w:type="dxa"/>
              <w:end w:w="120" w:type="dxa"/>
            </w:tcMar>
            <w:vAlign w:val="center"/>
          </w:tcPr>
          <w:p>
            <w:pPr>
              <w:spacing w:before="0" w:after="0" w:line="264" w:lineRule="auto"/>
              <w:jc w:val="center"/>
            </w:pPr>
            <w:r/>
            <w:r>
              <w:rPr>
                <w:rFonts w:ascii="Calibri" w:hAnsi="Calibri" w:eastAsia="Microsoft YaHei"/>
                <w:b/>
                <w:color w:val="172033"/>
                <w:sz w:val="17"/>
              </w:rPr>
              <w:t>1125 rpm</w:t>
            </w:r>
          </w:p>
        </w:tc>
        <w:tc>
          <w:tcPr>
            <w:tcW w:type="dxa" w:w="1500"/>
            <w:tcMar>
              <w:top w:w="80" w:type="dxa"/>
              <w:start w:w="120" w:type="dxa"/>
              <w:bottom w:w="80" w:type="dxa"/>
              <w:end w:w="120" w:type="dxa"/>
            </w:tcMar>
            <w:vAlign w:val="center"/>
          </w:tcPr>
          <w:p>
            <w:pPr>
              <w:spacing w:before="0" w:after="0" w:line="264" w:lineRule="auto"/>
              <w:jc w:val="center"/>
            </w:pPr>
            <w:r/>
            <w:r>
              <w:rPr>
                <w:rFonts w:ascii="Calibri" w:hAnsi="Calibri" w:eastAsia="Microsoft YaHei"/>
                <w:b w:val="0"/>
                <w:color w:val="172033"/>
                <w:sz w:val="17"/>
              </w:rPr>
              <w:t>高于东德 4.1 dB</w:t>
            </w:r>
          </w:p>
        </w:tc>
        <w:tc>
          <w:tcPr>
            <w:tcW w:type="dxa" w:w="1500"/>
            <w:tcMar>
              <w:top w:w="80" w:type="dxa"/>
              <w:start w:w="120" w:type="dxa"/>
              <w:bottom w:w="80" w:type="dxa"/>
              <w:end w:w="120" w:type="dxa"/>
            </w:tcMar>
            <w:vAlign w:val="center"/>
          </w:tcPr>
          <w:p>
            <w:pPr>
              <w:spacing w:before="0" w:after="0" w:line="264" w:lineRule="auto"/>
              <w:jc w:val="center"/>
            </w:pPr>
            <w:r/>
            <w:r>
              <w:rPr>
                <w:rFonts w:ascii="Calibri" w:hAnsi="Calibri" w:eastAsia="Microsoft YaHei"/>
                <w:b w:val="0"/>
                <w:color w:val="172033"/>
                <w:sz w:val="17"/>
              </w:rPr>
              <w:t>高于东德 3.4 dB</w:t>
            </w:r>
          </w:p>
        </w:tc>
        <w:tc>
          <w:tcPr>
            <w:tcW w:type="dxa" w:w="1500"/>
            <w:tcMar>
              <w:top w:w="80" w:type="dxa"/>
              <w:start w:w="120" w:type="dxa"/>
              <w:bottom w:w="80" w:type="dxa"/>
              <w:end w:w="120" w:type="dxa"/>
            </w:tcMar>
            <w:vAlign w:val="center"/>
          </w:tcPr>
          <w:p>
            <w:pPr>
              <w:spacing w:before="0" w:after="0" w:line="264" w:lineRule="auto"/>
              <w:jc w:val="center"/>
            </w:pPr>
            <w:r/>
            <w:r>
              <w:rPr>
                <w:rFonts w:ascii="Calibri" w:hAnsi="Calibri" w:eastAsia="Microsoft YaHei"/>
                <w:b w:val="0"/>
                <w:color w:val="172033"/>
                <w:sz w:val="17"/>
              </w:rPr>
              <w:t>47.2%</w:t>
            </w:r>
          </w:p>
        </w:tc>
        <w:tc>
          <w:tcPr>
            <w:tcW w:type="dxa" w:w="1560"/>
            <w:shd w:fill="FEE2E2"/>
            <w:tcMar>
              <w:top w:w="80" w:type="dxa"/>
              <w:start w:w="120" w:type="dxa"/>
              <w:bottom w:w="80" w:type="dxa"/>
              <w:end w:w="120" w:type="dxa"/>
            </w:tcMar>
            <w:vAlign w:val="center"/>
          </w:tcPr>
          <w:p>
            <w:pPr>
              <w:spacing w:before="0" w:after="0" w:line="264" w:lineRule="auto"/>
              <w:jc w:val="center"/>
            </w:pPr>
            <w:r/>
            <w:r>
              <w:rPr>
                <w:rFonts w:ascii="Calibri" w:hAnsi="Calibri" w:eastAsia="Microsoft YaHei"/>
                <w:b/>
                <w:color w:val="172033"/>
                <w:sz w:val="17"/>
              </w:rPr>
              <w:t>明显偏响</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Microsoft YaHei"/>
                <w:b w:val="0"/>
                <w:color w:val="172033"/>
                <w:sz w:val="17"/>
              </w:rPr>
              <w:t>优化后延长录音复测</w:t>
            </w:r>
          </w:p>
        </w:tc>
      </w:tr>
    </w:tbl>
    <w:p>
      <w:pPr>
        <w:spacing w:before="0" w:after="120" w:line="300" w:lineRule="auto"/>
      </w:pPr>
      <w:r>
        <w:rPr>
          <w:rFonts w:ascii="Calibri" w:hAnsi="Calibri" w:eastAsia="Microsoft YaHei"/>
          <w:b/>
          <w:color w:val="172033"/>
          <w:sz w:val="22"/>
        </w:rPr>
        <w:t>这里的“低于/高于东德”</w:t>
      </w:r>
      <w:r>
        <w:rPr>
          <w:rFonts w:ascii="Calibri" w:hAnsi="Calibri" w:eastAsia="Microsoft YaHei"/>
          <w:color w:val="172033"/>
          <w:sz w:val="22"/>
        </w:rPr>
        <w:t>是声音差值的方向，不是负分贝。所有客户可见声级均使用正数的估算 dB(A)。</w:t>
      </w:r>
    </w:p>
    <w:p>
      <w:pPr>
        <w:pStyle w:val="Heading1"/>
        <w:keepNext/>
      </w:pPr>
      <w:r>
        <w:rPr>
          <w:rFonts w:ascii="Calibri" w:hAnsi="Calibri" w:eastAsia="Microsoft YaHei"/>
        </w:rPr>
        <w:t>2. 三个指标分别代表什么</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tcMar>
              <w:top w:w="80" w:type="dxa"/>
              <w:start w:w="120" w:type="dxa"/>
              <w:bottom w:w="80" w:type="dxa"/>
              <w:end w:w="120" w:type="dxa"/>
            </w:tcMar>
            <w:vAlign w:val="center"/>
            <w:shd w:fill="E8EEF5"/>
          </w:tcPr>
          <w:p>
            <w:pPr>
              <w:spacing w:before="0" w:after="0" w:line="264" w:lineRule="auto"/>
              <w:jc w:val="left"/>
            </w:pPr>
            <w:r/>
            <w:r>
              <w:rPr>
                <w:rFonts w:ascii="Calibri" w:hAnsi="Calibri" w:eastAsia="Microsoft YaHei"/>
                <w:b/>
                <w:color w:val="1F4D78"/>
                <w:sz w:val="19"/>
              </w:rPr>
              <w:t>常见咚声</w:t>
            </w:r>
          </w:p>
        </w:tc>
        <w:tc>
          <w:tcPr>
            <w:tcW w:type="dxa" w:w="7260"/>
            <w:tcMar>
              <w:top w:w="80" w:type="dxa"/>
              <w:start w:w="120" w:type="dxa"/>
              <w:bottom w:w="80" w:type="dxa"/>
              <w:end w:w="120" w:type="dxa"/>
            </w:tcMar>
            <w:vAlign w:val="center"/>
          </w:tcPr>
          <w:p>
            <w:pPr>
              <w:spacing w:before="0" w:after="0" w:line="264" w:lineRule="auto"/>
              <w:jc w:val="left"/>
            </w:pPr>
            <w:r/>
            <w:r>
              <w:rPr>
                <w:rFonts w:ascii="Calibri" w:hAnsi="Calibri" w:eastAsia="Microsoft YaHei"/>
                <w:b w:val="0"/>
                <w:color w:val="172033"/>
                <w:sz w:val="19"/>
              </w:rPr>
              <w:t>代表大多数正常工作周期中经常听到的咚声水平，用来判断日常听感。</w:t>
            </w:r>
          </w:p>
        </w:tc>
      </w:tr>
      <w:tr>
        <w:tc>
          <w:tcPr>
            <w:tcW w:type="dxa" w:w="2100"/>
            <w:tcMar>
              <w:top w:w="80" w:type="dxa"/>
              <w:start w:w="120" w:type="dxa"/>
              <w:bottom w:w="80" w:type="dxa"/>
              <w:end w:w="120" w:type="dxa"/>
            </w:tcMar>
            <w:vAlign w:val="center"/>
            <w:shd w:fill="E8EEF5"/>
          </w:tcPr>
          <w:p>
            <w:pPr>
              <w:spacing w:before="0" w:after="0" w:line="264" w:lineRule="auto"/>
              <w:jc w:val="left"/>
            </w:pPr>
            <w:r/>
            <w:r>
              <w:rPr>
                <w:rFonts w:ascii="Calibri" w:hAnsi="Calibri" w:eastAsia="Microsoft YaHei"/>
                <w:b/>
                <w:color w:val="1F4D78"/>
                <w:sz w:val="19"/>
              </w:rPr>
              <w:t>较响咚声</w:t>
            </w:r>
          </w:p>
        </w:tc>
        <w:tc>
          <w:tcPr>
            <w:tcW w:type="dxa" w:w="7260"/>
            <w:tcMar>
              <w:top w:w="80" w:type="dxa"/>
              <w:start w:w="120" w:type="dxa"/>
              <w:bottom w:w="80" w:type="dxa"/>
              <w:end w:w="120" w:type="dxa"/>
            </w:tcMar>
            <w:vAlign w:val="center"/>
          </w:tcPr>
          <w:p>
            <w:pPr>
              <w:spacing w:before="0" w:after="0" w:line="264" w:lineRule="auto"/>
              <w:jc w:val="left"/>
            </w:pPr>
            <w:r/>
            <w:r>
              <w:rPr>
                <w:rFonts w:ascii="Calibri" w:hAnsi="Calibri" w:eastAsia="Microsoft YaHei"/>
                <w:b w:val="0"/>
                <w:color w:val="172033"/>
                <w:sz w:val="19"/>
              </w:rPr>
              <w:t>代表一段测试里偏响的那部分周期，用来判断偶发冲击是否刺耳。</w:t>
            </w:r>
          </w:p>
        </w:tc>
      </w:tr>
      <w:tr>
        <w:tc>
          <w:tcPr>
            <w:tcW w:type="dxa" w:w="2100"/>
            <w:tcMar>
              <w:top w:w="80" w:type="dxa"/>
              <w:start w:w="120" w:type="dxa"/>
              <w:bottom w:w="80" w:type="dxa"/>
              <w:end w:w="120" w:type="dxa"/>
            </w:tcMar>
            <w:vAlign w:val="center"/>
            <w:shd w:fill="E8EEF5"/>
          </w:tcPr>
          <w:p>
            <w:pPr>
              <w:spacing w:before="0" w:after="0" w:line="264" w:lineRule="auto"/>
              <w:jc w:val="left"/>
            </w:pPr>
            <w:r/>
            <w:r>
              <w:rPr>
                <w:rFonts w:ascii="Calibri" w:hAnsi="Calibri" w:eastAsia="Microsoft YaHei"/>
                <w:b/>
                <w:color w:val="1F4D78"/>
                <w:sz w:val="19"/>
              </w:rPr>
              <w:t>超过门槛的比例</w:t>
            </w:r>
          </w:p>
        </w:tc>
        <w:tc>
          <w:tcPr>
            <w:tcW w:type="dxa" w:w="7260"/>
            <w:tcMar>
              <w:top w:w="80" w:type="dxa"/>
              <w:start w:w="120" w:type="dxa"/>
              <w:bottom w:w="80" w:type="dxa"/>
              <w:end w:w="120" w:type="dxa"/>
            </w:tcMar>
            <w:vAlign w:val="center"/>
          </w:tcPr>
          <w:p>
            <w:pPr>
              <w:spacing w:before="0" w:after="0" w:line="264" w:lineRule="auto"/>
              <w:jc w:val="left"/>
            </w:pPr>
            <w:r/>
            <w:r>
              <w:rPr>
                <w:rFonts w:ascii="Calibri" w:hAnsi="Calibri" w:eastAsia="Microsoft YaHei"/>
                <w:b w:val="0"/>
                <w:color w:val="172033"/>
                <w:sz w:val="19"/>
              </w:rPr>
              <w:t>东德自身约有 10% 的咚声会进入“较响”范围；富瑞比例越高，说明偏响周期越频繁。</w:t>
            </w:r>
          </w:p>
        </w:tc>
      </w:tr>
    </w:tbl>
    <w:p>
      <w:r>
        <w:br w:type="page"/>
      </w:r>
    </w:p>
    <w:p>
      <w:pPr>
        <w:pStyle w:val="Heading1"/>
        <w:keepNext/>
      </w:pPr>
      <w:r>
        <w:rPr>
          <w:rFonts w:ascii="Calibri" w:hAnsi="Calibri" w:eastAsia="Microsoft YaHei"/>
        </w:rPr>
        <w:t>3. 整段咚声趋势</w:t>
      </w:r>
    </w:p>
    <w:p>
      <w:pPr>
        <w:spacing w:before="0" w:after="120" w:line="300" w:lineRule="auto"/>
      </w:pPr>
      <w:r>
        <w:rPr>
          <w:rFonts w:ascii="Calibri" w:hAnsi="Calibri" w:eastAsia="Microsoft YaHei"/>
          <w:color w:val="172033"/>
          <w:sz w:val="22"/>
        </w:rPr>
        <w:t>每个点代表一次有效咚声，黑线是连续 5 次咚声的趋势。它能直接显示你提到的“连续几个周期都较小，后面几个周期又变大”的现象。排气尖声和台架稳态背景不进入咚声统计。</w:t>
      </w:r>
    </w:p>
    <w:p>
      <w:pPr>
        <w:spacing w:after="80"/>
        <w:jc w:val="center"/>
      </w:pPr>
      <w:r>
        <w:drawing>
          <wp:inline xmlns:a="http://schemas.openxmlformats.org/drawingml/2006/main" xmlns:pic="http://schemas.openxmlformats.org/drawingml/2006/picture">
            <wp:extent cx="5897880" cy="4177665"/>
            <wp:docPr id="1" name="Picture 1"/>
            <wp:cNvGraphicFramePr>
              <a:graphicFrameLocks noChangeAspect="1"/>
            </wp:cNvGraphicFramePr>
            <a:graphic>
              <a:graphicData uri="http://schemas.openxmlformats.org/drawingml/2006/picture">
                <pic:pic>
                  <pic:nvPicPr>
                    <pic:cNvPr id="0" name="02_同转速包络直观对比.png"/>
                    <pic:cNvPicPr/>
                  </pic:nvPicPr>
                  <pic:blipFill>
                    <a:blip r:embed="rId11"/>
                    <a:stretch>
                      <a:fillRect/>
                    </a:stretch>
                  </pic:blipFill>
                  <pic:spPr>
                    <a:xfrm>
                      <a:off x="0" y="0"/>
                      <a:ext cx="5897880" cy="4177665"/>
                    </a:xfrm>
                    <a:prstGeom prst="rect"/>
                  </pic:spPr>
                </pic:pic>
              </a:graphicData>
            </a:graphic>
          </wp:inline>
        </w:drawing>
      </w:r>
    </w:p>
    <w:p>
      <w:pPr>
        <w:keepNext/>
        <w:spacing w:after="160"/>
        <w:jc w:val="center"/>
      </w:pPr>
      <w:r>
        <w:rPr>
          <w:rFonts w:ascii="Calibri" w:hAnsi="Calibri" w:eastAsia="Microsoft YaHei"/>
          <w:i/>
          <w:color w:val="555555"/>
          <w:sz w:val="18"/>
        </w:rPr>
        <w:t>图1  东德基准与富瑞初始状态的整段咚声趋势</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Calibri" w:hAnsi="Calibri" w:eastAsia="Microsoft YaHei"/>
                <w:b/>
                <w:color w:val="1F4D78"/>
                <w:sz w:val="22"/>
              </w:rPr>
              <w:t xml:space="preserve">判读  </w:t>
            </w:r>
            <w:r>
              <w:rPr>
                <w:rFonts w:ascii="Calibri" w:hAnsi="Calibri" w:eastAsia="Microsoft YaHei"/>
                <w:color w:val="172033"/>
                <w:sz w:val="22"/>
              </w:rPr>
              <w:t>700 rpm 两者总体接近；800 rpm 富瑞多数周期较低；900 rpm 富瑞整段趋势整体上移，偏响不是单个偶发点，而是持续性差异。</w:t>
            </w:r>
          </w:p>
        </w:tc>
      </w:tr>
    </w:tbl>
    <w:p>
      <w:pPr>
        <w:spacing w:after="40"/>
      </w:pPr>
    </w:p>
    <w:p>
      <w:r>
        <w:br w:type="page"/>
      </w:r>
    </w:p>
    <w:p>
      <w:pPr>
        <w:pStyle w:val="Heading1"/>
        <w:keepNext/>
      </w:pPr>
      <w:r>
        <w:rPr>
          <w:rFonts w:ascii="Calibri" w:hAnsi="Calibri" w:eastAsia="Microsoft YaHei"/>
        </w:rPr>
        <w:t>4. 常见咚声和较响咚声单独比较</w:t>
      </w:r>
    </w:p>
    <w:p>
      <w:pPr>
        <w:spacing w:before="0" w:after="120" w:line="300" w:lineRule="auto"/>
      </w:pPr>
      <w:r>
        <w:rPr>
          <w:rFonts w:ascii="Calibri" w:hAnsi="Calibri" w:eastAsia="Microsoft YaHei"/>
          <w:color w:val="172033"/>
          <w:sz w:val="22"/>
        </w:rPr>
        <w:t>下图从每段录音中分别抽取一声具有代表性的常见咚声和较响咚声。曲线保留实际声级差异，没有人为把两条曲线峰值拉到同样高度，因此高低差可以直接比较；横轴 0 ms 附近为咚声峰值。</w:t>
      </w:r>
    </w:p>
    <w:p>
      <w:pPr>
        <w:spacing w:after="80"/>
        <w:jc w:val="center"/>
      </w:pPr>
      <w:r>
        <w:drawing>
          <wp:inline xmlns:a="http://schemas.openxmlformats.org/drawingml/2006/main" xmlns:pic="http://schemas.openxmlformats.org/drawingml/2006/picture">
            <wp:extent cx="5897880" cy="3194685"/>
            <wp:docPr id="2" name="Picture 2"/>
            <wp:cNvGraphicFramePr>
              <a:graphicFrameLocks noChangeAspect="1"/>
            </wp:cNvGraphicFramePr>
            <a:graphic>
              <a:graphicData uri="http://schemas.openxmlformats.org/drawingml/2006/picture">
                <pic:pic>
                  <pic:nvPicPr>
                    <pic:cNvPr id="0" name="03_大小咚代表事件叠加.png"/>
                    <pic:cNvPicPr/>
                  </pic:nvPicPr>
                  <pic:blipFill>
                    <a:blip r:embed="rId12"/>
                    <a:stretch>
                      <a:fillRect/>
                    </a:stretch>
                  </pic:blipFill>
                  <pic:spPr>
                    <a:xfrm>
                      <a:off x="0" y="0"/>
                      <a:ext cx="5897880" cy="3194685"/>
                    </a:xfrm>
                    <a:prstGeom prst="rect"/>
                  </pic:spPr>
                </pic:pic>
              </a:graphicData>
            </a:graphic>
          </wp:inline>
        </w:drawing>
      </w:r>
    </w:p>
    <w:p>
      <w:pPr>
        <w:keepNext/>
        <w:spacing w:after="160"/>
        <w:jc w:val="center"/>
      </w:pPr>
      <w:r>
        <w:rPr>
          <w:rFonts w:ascii="Calibri" w:hAnsi="Calibri" w:eastAsia="Microsoft YaHei"/>
          <w:i/>
          <w:color w:val="555555"/>
          <w:sz w:val="18"/>
        </w:rPr>
        <w:t>图2  常见咚声与较响咚声的单次曲线叠加</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Calibri" w:hAnsi="Calibri" w:eastAsia="Microsoft YaHei"/>
                <w:b/>
                <w:color w:val="1F4D78"/>
                <w:sz w:val="22"/>
              </w:rPr>
              <w:t xml:space="preserve">最明显差异  </w:t>
            </w:r>
            <w:r>
              <w:rPr>
                <w:rFonts w:ascii="Calibri" w:hAnsi="Calibri" w:eastAsia="Microsoft YaHei"/>
                <w:color w:val="172033"/>
                <w:sz w:val="22"/>
              </w:rPr>
              <w:t>900 rpm 下，富瑞常见咚声和较响咚声均明显高于东德；800 rpm 下，富瑞较响咚声峰值低于东德。</w:t>
            </w:r>
          </w:p>
        </w:tc>
      </w:tr>
    </w:tbl>
    <w:p>
      <w:pPr>
        <w:spacing w:after="40"/>
      </w:pPr>
    </w:p>
    <w:p>
      <w:r>
        <w:br w:type="page"/>
      </w:r>
    </w:p>
    <w:p>
      <w:pPr>
        <w:pStyle w:val="Heading1"/>
        <w:keepNext/>
      </w:pPr>
      <w:r>
        <w:rPr>
          <w:rFonts w:ascii="Calibri" w:hAnsi="Calibri" w:eastAsia="Microsoft YaHei"/>
        </w:rPr>
        <w:t>5. 基准评分与后续优化方向</w:t>
      </w:r>
    </w:p>
    <w:p>
      <w:pPr>
        <w:spacing w:after="80"/>
        <w:jc w:val="center"/>
      </w:pPr>
      <w:r>
        <w:drawing>
          <wp:inline xmlns:a="http://schemas.openxmlformats.org/drawingml/2006/main" xmlns:pic="http://schemas.openxmlformats.org/drawingml/2006/picture">
            <wp:extent cx="5897880" cy="2359152"/>
            <wp:docPr id="3" name="Picture 3"/>
            <wp:cNvGraphicFramePr>
              <a:graphicFrameLocks noChangeAspect="1"/>
            </wp:cNvGraphicFramePr>
            <a:graphic>
              <a:graphicData uri="http://schemas.openxmlformats.org/drawingml/2006/picture">
                <pic:pic>
                  <pic:nvPicPr>
                    <pic:cNvPr id="0" name="04_一页式基准评分卡.png"/>
                    <pic:cNvPicPr/>
                  </pic:nvPicPr>
                  <pic:blipFill>
                    <a:blip r:embed="rId13"/>
                    <a:stretch>
                      <a:fillRect/>
                    </a:stretch>
                  </pic:blipFill>
                  <pic:spPr>
                    <a:xfrm>
                      <a:off x="0" y="0"/>
                      <a:ext cx="5897880" cy="2359152"/>
                    </a:xfrm>
                    <a:prstGeom prst="rect"/>
                  </pic:spPr>
                </pic:pic>
              </a:graphicData>
            </a:graphic>
          </wp:inline>
        </w:drawing>
      </w:r>
    </w:p>
    <w:p>
      <w:pPr>
        <w:keepNext/>
        <w:spacing w:after="160"/>
        <w:jc w:val="center"/>
      </w:pPr>
      <w:r>
        <w:rPr>
          <w:rFonts w:ascii="Calibri" w:hAnsi="Calibri" w:eastAsia="Microsoft YaHei"/>
          <w:i/>
          <w:color w:val="555555"/>
          <w:sz w:val="18"/>
        </w:rPr>
        <w:t>图3  富瑞相对东德的差值大小和偏响周期占比</w:t>
      </w:r>
    </w:p>
    <w:p>
      <w:pPr>
        <w:spacing w:before="0" w:after="120" w:line="300" w:lineRule="auto"/>
      </w:pPr>
      <w:r>
        <w:rPr>
          <w:rFonts w:ascii="Calibri" w:hAnsi="Calibri" w:eastAsia="Microsoft YaHei"/>
          <w:b/>
          <w:color w:val="172033"/>
          <w:sz w:val="22"/>
        </w:rPr>
        <w:t>第一优先级：</w:t>
      </w:r>
      <w:r>
        <w:rPr>
          <w:rFonts w:ascii="Calibri" w:hAnsi="Calibri" w:eastAsia="Microsoft YaHei"/>
          <w:color w:val="172033"/>
          <w:sz w:val="22"/>
        </w:rPr>
        <w:t>900 rpm。常见咚声高 7.6 dB、较响咚声高 5.1 dB，且 39.6% 的事件超过东德较响门槛。</w:t>
      </w:r>
    </w:p>
    <w:p>
      <w:pPr>
        <w:spacing w:before="0" w:after="120" w:line="300" w:lineRule="auto"/>
      </w:pPr>
      <w:r>
        <w:rPr>
          <w:rFonts w:ascii="Calibri" w:hAnsi="Calibri" w:eastAsia="Microsoft YaHei"/>
          <w:b/>
          <w:color w:val="172033"/>
          <w:sz w:val="22"/>
        </w:rPr>
        <w:t>第二优先级：</w:t>
      </w:r>
      <w:r>
        <w:rPr>
          <w:rFonts w:ascii="Calibri" w:hAnsi="Calibri" w:eastAsia="Microsoft YaHei"/>
          <w:color w:val="172033"/>
          <w:sz w:val="22"/>
        </w:rPr>
        <w:t>1125 rpm。两类咚声均偏高，超过门槛的比例达到 47.2%；现有竞品录音较短，优化后应延长录音复核。</w:t>
      </w:r>
    </w:p>
    <w:p>
      <w:pPr>
        <w:spacing w:before="0" w:after="120" w:line="300" w:lineRule="auto"/>
      </w:pPr>
      <w:r>
        <w:rPr>
          <w:rFonts w:ascii="Calibri" w:hAnsi="Calibri" w:eastAsia="Microsoft YaHei"/>
          <w:b/>
          <w:color w:val="172033"/>
          <w:sz w:val="22"/>
        </w:rPr>
        <w:t>保持项：</w:t>
      </w:r>
      <w:r>
        <w:rPr>
          <w:rFonts w:ascii="Calibri" w:hAnsi="Calibri" w:eastAsia="Microsoft YaHei"/>
          <w:color w:val="172033"/>
          <w:sz w:val="22"/>
        </w:rPr>
        <w:t>800 rpm。当前结果优于东德，但需要至少再做两次相同工况重复测试，确认不是录音自动增益或单次工况波动造成。</w:t>
      </w:r>
    </w:p>
    <w:p>
      <w:pPr>
        <w:spacing w:before="0" w:after="120" w:line="300" w:lineRule="auto"/>
      </w:pPr>
      <w:r>
        <w:rPr>
          <w:rFonts w:ascii="Calibri" w:hAnsi="Calibri" w:eastAsia="Microsoft YaHei"/>
          <w:b/>
          <w:color w:val="172033"/>
          <w:sz w:val="22"/>
        </w:rPr>
        <w:t>改善项：</w:t>
      </w:r>
      <w:r>
        <w:rPr>
          <w:rFonts w:ascii="Calibri" w:hAnsi="Calibri" w:eastAsia="Microsoft YaHei"/>
          <w:color w:val="172033"/>
          <w:sz w:val="22"/>
        </w:rPr>
        <w:t>700 rpm。常见声已经略低于东德，重点不是整体再降很多，而是压低少数偏响周期。</w:t>
      </w:r>
    </w:p>
    <w:p>
      <w:pPr>
        <w:pStyle w:val="Heading1"/>
        <w:keepNext/>
      </w:pPr>
      <w:r>
        <w:rPr>
          <w:rFonts w:ascii="Calibri" w:hAnsi="Calibri" w:eastAsia="Microsoft YaHei"/>
        </w:rPr>
        <w:t>6. 咚声可能出现在哪个动作阶段</w:t>
      </w:r>
    </w:p>
    <w:p>
      <w:pPr>
        <w:spacing w:before="0" w:after="120" w:line="300" w:lineRule="auto"/>
      </w:pPr>
      <w:r>
        <w:rPr>
          <w:rFonts w:ascii="Calibri" w:hAnsi="Calibri" w:eastAsia="Microsoft YaHei"/>
          <w:color w:val="172033"/>
          <w:sz w:val="22"/>
        </w:rPr>
        <w:t>现有 1000 rpm 声音与功能数据的候选对齐显示，咚声主要集中在低温泵出口压力上升/打压开始，以及压力下降/泄压回程两个边界。统计中约 34 次位于压力上升段、30 次位于下降段，明显多于高压平台和低压等待阶段。</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EF3C7"/>
          </w:tcPr>
          <w:p>
            <w:pPr>
              <w:spacing w:after="0" w:line="288" w:lineRule="auto"/>
            </w:pPr>
            <w:r>
              <w:rPr>
                <w:rFonts w:ascii="Calibri" w:hAnsi="Calibri" w:eastAsia="Microsoft YaHei"/>
                <w:b/>
                <w:color w:val="1F4D78"/>
                <w:sz w:val="22"/>
              </w:rPr>
              <w:t xml:space="preserve">工程判断  </w:t>
            </w:r>
            <w:r>
              <w:rPr>
                <w:rFonts w:ascii="Calibri" w:hAnsi="Calibri" w:eastAsia="Microsoft YaHei"/>
                <w:color w:val="172033"/>
                <w:sz w:val="22"/>
              </w:rPr>
              <w:t>大小咚声目前更像同一套换向和打压动作在不同周期中的冲击强弱变化，而不是两个始终固定、规律出现的独立声源。可能关联换向冲击、压力快速建立、行程端部阻力或卸压过程。</w:t>
            </w:r>
          </w:p>
        </w:tc>
      </w:tr>
    </w:tbl>
    <w:p>
      <w:pPr>
        <w:spacing w:after="40"/>
      </w:pPr>
    </w:p>
    <w:p>
      <w:pPr>
        <w:spacing w:before="0" w:after="120" w:line="300" w:lineRule="auto"/>
      </w:pPr>
      <w:r>
        <w:rPr>
          <w:rFonts w:ascii="Calibri" w:hAnsi="Calibri" w:eastAsia="Microsoft YaHei"/>
          <w:color w:val="172033"/>
          <w:sz w:val="22"/>
        </w:rPr>
        <w:t>该定位仍属于候选判断，因为视频和台架数据没有硬件同步触发。后续若要精确定位到换向阀、油缸端部或低温端阀动作，需要同步记录油缸位移、换向信号、系统油压和低温泵出口压力。</w:t>
      </w:r>
    </w:p>
    <w:p>
      <w:pPr>
        <w:pStyle w:val="Heading1"/>
        <w:keepNext/>
      </w:pPr>
      <w:r>
        <w:rPr>
          <w:rFonts w:ascii="Calibri" w:hAnsi="Calibri" w:eastAsia="Microsoft YaHei"/>
        </w:rPr>
        <w:t>7. 后续测试如何持续加入</w:t>
      </w:r>
    </w:p>
    <w:tbl>
      <w:tblPr>
        <w:tblW w:type="dxa" w:w="9360"/>
        <w:jc w:val="left"/>
        <w:tblLayout w:type="fixed"/>
        <w:tblLook w:firstColumn="1" w:firstRow="1" w:lastColumn="0" w:lastRow="0" w:noHBand="0" w:noVBand="1" w:val="04A0"/>
        <w:tblInd w:w="120" w:type="dxa"/>
      </w:tblPr>
      <w:tblGrid>
        <w:gridCol w:w="800"/>
        <w:gridCol w:w="2500"/>
        <w:gridCol w:w="6060"/>
      </w:tblGrid>
      <w:tr>
        <w:tc>
          <w:tcPr>
            <w:tcW w:type="dxa" w:w="800"/>
            <w:tcMar>
              <w:top w:w="80" w:type="dxa"/>
              <w:start w:w="120" w:type="dxa"/>
              <w:bottom w:w="80" w:type="dxa"/>
              <w:end w:w="120" w:type="dxa"/>
            </w:tcMar>
            <w:vAlign w:val="center"/>
            <w:shd w:fill="1F4D78"/>
          </w:tcPr>
          <w:p>
            <w:pPr>
              <w:spacing w:before="0" w:after="0" w:line="264" w:lineRule="auto"/>
              <w:jc w:val="center"/>
            </w:pPr>
            <w:r/>
            <w:r>
              <w:rPr>
                <w:rFonts w:ascii="Calibri" w:hAnsi="Calibri" w:eastAsia="Microsoft YaHei"/>
                <w:b/>
                <w:color w:val="FFFFFF"/>
                <w:sz w:val="19"/>
              </w:rPr>
              <w:t>步骤</w:t>
            </w:r>
          </w:p>
        </w:tc>
        <w:tc>
          <w:tcPr>
            <w:tcW w:type="dxa" w:w="2500"/>
            <w:tcMar>
              <w:top w:w="80" w:type="dxa"/>
              <w:start w:w="120" w:type="dxa"/>
              <w:bottom w:w="80" w:type="dxa"/>
              <w:end w:w="120" w:type="dxa"/>
            </w:tcMar>
            <w:vAlign w:val="center"/>
            <w:shd w:fill="1F4D78"/>
          </w:tcPr>
          <w:p>
            <w:pPr>
              <w:spacing w:before="0" w:after="0" w:line="264" w:lineRule="auto"/>
              <w:jc w:val="center"/>
            </w:pPr>
            <w:r/>
            <w:r>
              <w:rPr>
                <w:rFonts w:ascii="Calibri" w:hAnsi="Calibri" w:eastAsia="Microsoft YaHei"/>
                <w:b/>
                <w:color w:val="FFFFFF"/>
                <w:sz w:val="19"/>
              </w:rPr>
              <w:t>动作</w:t>
            </w:r>
          </w:p>
        </w:tc>
        <w:tc>
          <w:tcPr>
            <w:tcW w:type="dxa" w:w="6060"/>
            <w:tcMar>
              <w:top w:w="80" w:type="dxa"/>
              <w:start w:w="120" w:type="dxa"/>
              <w:bottom w:w="80" w:type="dxa"/>
              <w:end w:w="120" w:type="dxa"/>
            </w:tcMar>
            <w:vAlign w:val="center"/>
            <w:shd w:fill="1F4D78"/>
          </w:tcPr>
          <w:p>
            <w:pPr>
              <w:spacing w:before="0" w:after="0" w:line="264" w:lineRule="auto"/>
              <w:jc w:val="center"/>
            </w:pPr>
            <w:r/>
            <w:r>
              <w:rPr>
                <w:rFonts w:ascii="Calibri" w:hAnsi="Calibri" w:eastAsia="Microsoft YaHei"/>
                <w:b/>
                <w:color w:val="FFFFFF"/>
                <w:sz w:val="19"/>
              </w:rPr>
              <w:t>固定要求</w:t>
            </w:r>
          </w:p>
        </w:tc>
      </w:tr>
      <w:tr>
        <w:tc>
          <w:tcPr>
            <w:tcW w:type="dxa" w:w="800"/>
            <w:tcMar>
              <w:top w:w="80" w:type="dxa"/>
              <w:start w:w="120" w:type="dxa"/>
              <w:bottom w:w="80" w:type="dxa"/>
              <w:end w:w="120" w:type="dxa"/>
            </w:tcMar>
            <w:vAlign w:val="center"/>
          </w:tcPr>
          <w:p/>
        </w:tc>
        <w:tc>
          <w:tcPr>
            <w:tcW w:type="dxa" w:w="2500"/>
            <w:tcMar>
              <w:top w:w="80" w:type="dxa"/>
              <w:start w:w="120" w:type="dxa"/>
              <w:bottom w:w="80" w:type="dxa"/>
              <w:end w:w="120" w:type="dxa"/>
            </w:tcMar>
            <w:vAlign w:val="center"/>
          </w:tcPr>
          <w:p/>
        </w:tc>
        <w:tc>
          <w:tcPr>
            <w:tcW w:type="dxa" w:w="6060"/>
            <w:tcMar>
              <w:top w:w="80" w:type="dxa"/>
              <w:start w:w="120" w:type="dxa"/>
              <w:bottom w:w="80" w:type="dxa"/>
              <w:end w:w="120" w:type="dxa"/>
            </w:tcMar>
            <w:vAlign w:val="center"/>
          </w:tcPr>
          <w:p/>
        </w:tc>
      </w:tr>
      <w:tr>
        <w:tc>
          <w:tcPr>
            <w:tcW w:type="dxa" w:w="800"/>
            <w:tcMar>
              <w:top w:w="80" w:type="dxa"/>
              <w:start w:w="120" w:type="dxa"/>
              <w:bottom w:w="80" w:type="dxa"/>
              <w:end w:w="120" w:type="dxa"/>
            </w:tcMar>
            <w:vAlign w:val="center"/>
          </w:tcPr>
          <w:p/>
        </w:tc>
        <w:tc>
          <w:tcPr>
            <w:tcW w:type="dxa" w:w="2500"/>
            <w:tcMar>
              <w:top w:w="80" w:type="dxa"/>
              <w:start w:w="120" w:type="dxa"/>
              <w:bottom w:w="80" w:type="dxa"/>
              <w:end w:w="120" w:type="dxa"/>
            </w:tcMar>
            <w:vAlign w:val="center"/>
          </w:tcPr>
          <w:p/>
        </w:tc>
        <w:tc>
          <w:tcPr>
            <w:tcW w:type="dxa" w:w="6060"/>
            <w:tcMar>
              <w:top w:w="80" w:type="dxa"/>
              <w:start w:w="120" w:type="dxa"/>
              <w:bottom w:w="80" w:type="dxa"/>
              <w:end w:w="120" w:type="dxa"/>
            </w:tcMar>
            <w:vAlign w:val="center"/>
          </w:tcPr>
          <w:p/>
        </w:tc>
      </w:tr>
      <w:tr>
        <w:tc>
          <w:tcPr>
            <w:tcW w:type="dxa" w:w="800"/>
            <w:tcMar>
              <w:top w:w="80" w:type="dxa"/>
              <w:start w:w="120" w:type="dxa"/>
              <w:bottom w:w="80" w:type="dxa"/>
              <w:end w:w="120" w:type="dxa"/>
            </w:tcMar>
            <w:vAlign w:val="center"/>
          </w:tcPr>
          <w:p/>
        </w:tc>
        <w:tc>
          <w:tcPr>
            <w:tcW w:type="dxa" w:w="2500"/>
            <w:tcMar>
              <w:top w:w="80" w:type="dxa"/>
              <w:start w:w="120" w:type="dxa"/>
              <w:bottom w:w="80" w:type="dxa"/>
              <w:end w:w="120" w:type="dxa"/>
            </w:tcMar>
            <w:vAlign w:val="center"/>
          </w:tcPr>
          <w:p/>
        </w:tc>
        <w:tc>
          <w:tcPr>
            <w:tcW w:type="dxa" w:w="6060"/>
            <w:tcMar>
              <w:top w:w="80" w:type="dxa"/>
              <w:start w:w="120" w:type="dxa"/>
              <w:bottom w:w="80" w:type="dxa"/>
              <w:end w:w="120" w:type="dxa"/>
            </w:tcMar>
            <w:vAlign w:val="center"/>
          </w:tcPr>
          <w:p/>
        </w:tc>
      </w:tr>
      <w:tr>
        <w:tc>
          <w:tcPr>
            <w:tcW w:type="dxa" w:w="800"/>
            <w:tcMar>
              <w:top w:w="80" w:type="dxa"/>
              <w:start w:w="120" w:type="dxa"/>
              <w:bottom w:w="80" w:type="dxa"/>
              <w:end w:w="120" w:type="dxa"/>
            </w:tcMar>
            <w:vAlign w:val="center"/>
          </w:tcPr>
          <w:p/>
        </w:tc>
        <w:tc>
          <w:tcPr>
            <w:tcW w:type="dxa" w:w="2500"/>
            <w:tcMar>
              <w:top w:w="80" w:type="dxa"/>
              <w:start w:w="120" w:type="dxa"/>
              <w:bottom w:w="80" w:type="dxa"/>
              <w:end w:w="120" w:type="dxa"/>
            </w:tcMar>
            <w:vAlign w:val="center"/>
          </w:tcPr>
          <w:p/>
        </w:tc>
        <w:tc>
          <w:tcPr>
            <w:tcW w:type="dxa" w:w="6060"/>
            <w:tcMar>
              <w:top w:w="80" w:type="dxa"/>
              <w:start w:w="120" w:type="dxa"/>
              <w:bottom w:w="80" w:type="dxa"/>
              <w:end w:w="120" w:type="dxa"/>
            </w:tcMar>
            <w:vAlign w:val="center"/>
          </w:tcPr>
          <w:p/>
        </w:tc>
      </w:tr>
      <w:tr>
        <w:tc>
          <w:tcPr>
            <w:tcW w:type="dxa" w:w="800"/>
          </w:tcPr>
          <w:p>
            <w:pPr>
              <w:spacing w:before="0" w:after="0" w:line="264" w:lineRule="auto"/>
              <w:jc w:val="center"/>
            </w:pPr>
            <w:r/>
            <w:r>
              <w:rPr>
                <w:rFonts w:ascii="Calibri" w:hAnsi="Calibri" w:eastAsia="Microsoft YaHei"/>
                <w:b/>
                <w:color w:val="172033"/>
                <w:sz w:val="18"/>
              </w:rPr>
              <w:t>1</w:t>
            </w:r>
          </w:p>
        </w:tc>
        <w:tc>
          <w:tcPr>
            <w:tcW w:type="dxa" w:w="2500"/>
          </w:tcPr>
          <w:p>
            <w:pPr>
              <w:spacing w:before="0" w:after="0" w:line="264" w:lineRule="auto"/>
              <w:jc w:val="left"/>
            </w:pPr>
            <w:r/>
            <w:r>
              <w:rPr>
                <w:rFonts w:ascii="Calibri" w:hAnsi="Calibri" w:eastAsia="Microsoft YaHei"/>
                <w:b w:val="0"/>
                <w:color w:val="172033"/>
                <w:sz w:val="18"/>
              </w:rPr>
              <w:t>录制</w:t>
            </w:r>
          </w:p>
        </w:tc>
        <w:tc>
          <w:tcPr>
            <w:tcW w:type="dxa" w:w="6060"/>
          </w:tcPr>
          <w:p>
            <w:pPr>
              <w:spacing w:before="0" w:after="0" w:line="264" w:lineRule="auto"/>
              <w:jc w:val="left"/>
            </w:pPr>
            <w:r/>
            <w:r>
              <w:rPr>
                <w:rFonts w:ascii="Calibri" w:hAnsi="Calibri" w:eastAsia="Microsoft YaHei"/>
                <w:b w:val="0"/>
                <w:color w:val="172033"/>
                <w:sz w:val="18"/>
              </w:rPr>
              <w:t>同一手机和录制模式；手机、泵、分贝仪位置保持一致；每个稳定工况建议不少于 60 s。</w:t>
            </w:r>
          </w:p>
        </w:tc>
      </w:tr>
      <w:tr>
        <w:tc>
          <w:tcPr>
            <w:tcW w:type="dxa" w:w="800"/>
          </w:tcPr>
          <w:p>
            <w:pPr>
              <w:spacing w:before="0" w:after="0" w:line="264" w:lineRule="auto"/>
              <w:jc w:val="center"/>
            </w:pPr>
            <w:r/>
            <w:r>
              <w:rPr>
                <w:rFonts w:ascii="Calibri" w:hAnsi="Calibri" w:eastAsia="Microsoft YaHei"/>
                <w:b/>
                <w:color w:val="172033"/>
                <w:sz w:val="18"/>
              </w:rPr>
              <w:t>2</w:t>
            </w:r>
          </w:p>
        </w:tc>
        <w:tc>
          <w:tcPr>
            <w:tcW w:type="dxa" w:w="2500"/>
          </w:tcPr>
          <w:p>
            <w:pPr>
              <w:spacing w:before="0" w:after="0" w:line="264" w:lineRule="auto"/>
              <w:jc w:val="left"/>
            </w:pPr>
            <w:r/>
            <w:r>
              <w:rPr>
                <w:rFonts w:ascii="Calibri" w:hAnsi="Calibri" w:eastAsia="Microsoft YaHei"/>
                <w:b w:val="0"/>
                <w:color w:val="172033"/>
                <w:sz w:val="18"/>
              </w:rPr>
              <w:t>登记</w:t>
            </w:r>
          </w:p>
        </w:tc>
        <w:tc>
          <w:tcPr>
            <w:tcW w:type="dxa" w:w="6060"/>
          </w:tcPr>
          <w:p>
            <w:pPr>
              <w:spacing w:before="0" w:after="0" w:line="264" w:lineRule="auto"/>
              <w:jc w:val="left"/>
            </w:pPr>
            <w:r/>
            <w:r>
              <w:rPr>
                <w:rFonts w:ascii="Calibri" w:hAnsi="Calibri" w:eastAsia="Microsoft YaHei"/>
                <w:b w:val="0"/>
                <w:color w:val="172033"/>
                <w:sz w:val="18"/>
              </w:rPr>
              <w:t>记录测试日期、油缸/密封/程序等配置、转速、压力和异常现象，形成唯一测试编号。</w:t>
            </w:r>
          </w:p>
        </w:tc>
      </w:tr>
      <w:tr>
        <w:tc>
          <w:tcPr>
            <w:tcW w:type="dxa" w:w="800"/>
          </w:tcPr>
          <w:p>
            <w:pPr>
              <w:spacing w:before="0" w:after="0" w:line="264" w:lineRule="auto"/>
              <w:jc w:val="center"/>
            </w:pPr>
            <w:r/>
            <w:r>
              <w:rPr>
                <w:rFonts w:ascii="Calibri" w:hAnsi="Calibri" w:eastAsia="Microsoft YaHei"/>
                <w:b/>
                <w:color w:val="172033"/>
                <w:sz w:val="18"/>
              </w:rPr>
              <w:t>3</w:t>
            </w:r>
          </w:p>
        </w:tc>
        <w:tc>
          <w:tcPr>
            <w:tcW w:type="dxa" w:w="2500"/>
          </w:tcPr>
          <w:p>
            <w:pPr>
              <w:spacing w:before="0" w:after="0" w:line="264" w:lineRule="auto"/>
              <w:jc w:val="left"/>
            </w:pPr>
            <w:r/>
            <w:r>
              <w:rPr>
                <w:rFonts w:ascii="Calibri" w:hAnsi="Calibri" w:eastAsia="Microsoft YaHei"/>
                <w:b w:val="0"/>
                <w:color w:val="172033"/>
                <w:sz w:val="18"/>
              </w:rPr>
              <w:t>分析</w:t>
            </w:r>
          </w:p>
        </w:tc>
        <w:tc>
          <w:tcPr>
            <w:tcW w:type="dxa" w:w="6060"/>
          </w:tcPr>
          <w:p>
            <w:pPr>
              <w:spacing w:before="0" w:after="0" w:line="264" w:lineRule="auto"/>
              <w:jc w:val="left"/>
            </w:pPr>
            <w:r/>
            <w:r>
              <w:rPr>
                <w:rFonts w:ascii="Calibri" w:hAnsi="Calibri" w:eastAsia="Microsoft YaHei"/>
                <w:b w:val="0"/>
                <w:color w:val="172033"/>
                <w:sz w:val="18"/>
              </w:rPr>
              <w:t>按同一频带、同一背景扣除和同一排气污染规则提取整体包络、常见咚声和较响咚声。</w:t>
            </w:r>
          </w:p>
        </w:tc>
      </w:tr>
      <w:tr>
        <w:tc>
          <w:tcPr>
            <w:tcW w:type="dxa" w:w="800"/>
          </w:tcPr>
          <w:p>
            <w:pPr>
              <w:spacing w:before="0" w:after="0" w:line="264" w:lineRule="auto"/>
              <w:jc w:val="center"/>
            </w:pPr>
            <w:r/>
            <w:r>
              <w:rPr>
                <w:rFonts w:ascii="Calibri" w:hAnsi="Calibri" w:eastAsia="Microsoft YaHei"/>
                <w:b/>
                <w:color w:val="172033"/>
                <w:sz w:val="18"/>
              </w:rPr>
              <w:t>4</w:t>
            </w:r>
          </w:p>
        </w:tc>
        <w:tc>
          <w:tcPr>
            <w:tcW w:type="dxa" w:w="2500"/>
          </w:tcPr>
          <w:p>
            <w:pPr>
              <w:spacing w:before="0" w:after="0" w:line="264" w:lineRule="auto"/>
              <w:jc w:val="left"/>
            </w:pPr>
            <w:r/>
            <w:r>
              <w:rPr>
                <w:rFonts w:ascii="Calibri" w:hAnsi="Calibri" w:eastAsia="Microsoft YaHei"/>
                <w:b w:val="0"/>
                <w:color w:val="172033"/>
                <w:sz w:val="18"/>
              </w:rPr>
              <w:t>比较</w:t>
            </w:r>
          </w:p>
        </w:tc>
        <w:tc>
          <w:tcPr>
            <w:tcW w:type="dxa" w:w="6060"/>
          </w:tcPr>
          <w:p>
            <w:pPr>
              <w:spacing w:before="0" w:after="0" w:line="264" w:lineRule="auto"/>
              <w:jc w:val="left"/>
            </w:pPr>
            <w:r/>
            <w:r>
              <w:rPr>
                <w:rFonts w:ascii="Calibri" w:hAnsi="Calibri" w:eastAsia="Microsoft YaHei"/>
                <w:b w:val="0"/>
                <w:color w:val="172033"/>
                <w:sz w:val="18"/>
              </w:rPr>
              <w:t>正式结论只与同转速东德基准比较；不同转速只能观察趋势，不能直接判断产品优劣。</w:t>
            </w:r>
          </w:p>
        </w:tc>
      </w:tr>
    </w:tbl>
    <w:p>
      <w:pPr>
        <w:spacing w:before="0" w:after="120" w:line="300" w:lineRule="auto"/>
      </w:pPr>
      <w:r>
        <w:rPr>
          <w:rFonts w:ascii="Calibri" w:hAnsi="Calibri" w:eastAsia="Microsoft YaHei"/>
          <w:color w:val="172033"/>
          <w:sz w:val="22"/>
        </w:rPr>
        <w:t>配套 Excel 已预留 6 个对比槽位。选择测试编号后，整体包络、常见咚声、较响咚声和结果表会同步切换；未选测试不进入曲线。</w:t>
      </w:r>
    </w:p>
    <w:p>
      <w:pPr>
        <w:pStyle w:val="Heading1"/>
        <w:keepNext/>
      </w:pPr>
      <w:r>
        <w:rPr>
          <w:rFonts w:ascii="Calibri" w:hAnsi="Calibri" w:eastAsia="Microsoft YaHei"/>
        </w:rPr>
        <w:t>8. 计算口径与使用边界</w:t>
      </w:r>
    </w:p>
    <w:p>
      <w:pPr>
        <w:spacing w:before="0" w:after="120" w:line="300" w:lineRule="auto"/>
      </w:pPr>
      <w:r>
        <w:rPr>
          <w:rFonts w:ascii="Calibri" w:hAnsi="Calibri" w:eastAsia="Microsoft YaHei"/>
          <w:b/>
          <w:color w:val="172033"/>
          <w:sz w:val="22"/>
        </w:rPr>
        <w:t>声级单位：</w:t>
      </w:r>
      <w:r>
        <w:rPr>
          <w:rFonts w:ascii="Calibri" w:hAnsi="Calibri" w:eastAsia="Microsoft YaHei"/>
          <w:color w:val="172033"/>
          <w:sz w:val="22"/>
        </w:rPr>
        <w:t>视频中的 Smart Sensor AR824 屏幕可识别为 dBA。由于 FAST/SLOW 时间计权标志看不清，手机又可能启用自动增益，因此报告中的绝对 dB(A)为工程估算值；它主要帮助阅读曲线，不作为认证或法规声级。</w:t>
      </w:r>
    </w:p>
    <w:p>
      <w:pPr>
        <w:spacing w:before="0" w:after="120" w:line="300" w:lineRule="auto"/>
      </w:pPr>
      <w:r>
        <w:rPr>
          <w:rFonts w:ascii="Calibri" w:hAnsi="Calibri" w:eastAsia="Microsoft YaHei"/>
          <w:b/>
          <w:color w:val="172033"/>
          <w:sz w:val="22"/>
        </w:rPr>
        <w:t>可靠主指标：</w:t>
      </w:r>
      <w:r>
        <w:rPr>
          <w:rFonts w:ascii="Calibri" w:hAnsi="Calibri" w:eastAsia="Microsoft YaHei"/>
          <w:color w:val="172033"/>
          <w:sz w:val="22"/>
        </w:rPr>
        <w:t>同一录制条件下“富瑞比东德高/低多少 dB”。固定校准偏移会在相减时抵消，因此相对差值比绝对声级更可靠。</w:t>
      </w:r>
    </w:p>
    <w:p>
      <w:pPr>
        <w:spacing w:before="0" w:after="120" w:line="300" w:lineRule="auto"/>
      </w:pPr>
      <w:r>
        <w:rPr>
          <w:rFonts w:ascii="Calibri" w:hAnsi="Calibri" w:eastAsia="Microsoft YaHei"/>
          <w:b/>
          <w:color w:val="172033"/>
          <w:sz w:val="22"/>
        </w:rPr>
        <w:t>干扰处理：</w:t>
      </w:r>
      <w:r>
        <w:rPr>
          <w:rFonts w:ascii="Calibri" w:hAnsi="Calibri" w:eastAsia="Microsoft YaHei"/>
          <w:color w:val="172033"/>
          <w:sz w:val="22"/>
        </w:rPr>
        <w:t>在 45-650 Hz 范围内提取往复冲击；每个事件扣除前后局部台架背景；高频排气尖声作为污染标记并剔除。算法只能降低干扰，不能证明环境声被百分之百分离。</w:t>
      </w:r>
    </w:p>
    <w:p>
      <w:pPr>
        <w:spacing w:before="0" w:after="120" w:line="300" w:lineRule="auto"/>
      </w:pPr>
      <w:r>
        <w:rPr>
          <w:rFonts w:ascii="Calibri" w:hAnsi="Calibri" w:eastAsia="Microsoft YaHei"/>
          <w:b/>
          <w:color w:val="172033"/>
          <w:sz w:val="22"/>
        </w:rPr>
        <w:t>转速原则：</w:t>
      </w:r>
      <w:r>
        <w:rPr>
          <w:rFonts w:ascii="Calibri" w:hAnsi="Calibri" w:eastAsia="Microsoft YaHei"/>
          <w:color w:val="172033"/>
          <w:sz w:val="22"/>
        </w:rPr>
        <w:t>当前数据已显示明显转速依赖，因此东德基准按 700/800/900/1125 rpm 分开保存。后续只有在重复试验证明各转速差异长期小于约 1 dB 后，才考虑合并。</w:t>
      </w:r>
    </w:p>
    <w:sectPr w:rsidR="00FC693F" w:rsidRPr="0006063C" w:rsidSect="00034616">
      <w:headerReference w:type="default" r:id="rId9"/>
      <w:footerReference w:type="default" r:id="rId10"/>
      <w:pgSz w:w="12240" w:h="15840"/>
      <w:pgMar w:top="1152"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4748B"/>
        <w:sz w:val="17"/>
      </w:rPr>
      <w:t xml:space="preserve">第 </w:t>
    </w:r>
    <w:r>
      <w:fldChar w:fldCharType="begin"/>
      <w:instrText xml:space="preserve"> PAGE </w:instrText>
      <w:fldChar w:fldCharType="end"/>
    </w:r>
    <w:r>
      <w:rPr>
        <w:rFonts w:ascii="Calibri" w:hAnsi="Calibri" w:eastAsia="Microsoft YaHei"/>
        <w:color w:val="64748B"/>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color w:val="64748B"/>
        <w:sz w:val="17"/>
      </w:rPr>
      <w:t>HPDI低温泵声音工程对比 | 东德基准 vs 富瑞初始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