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" w:after="43"/>
      </w:pPr>
      <w:r>
        <w:rPr>
          <w:rFonts w:ascii="Calibri" w:hAnsi="Calibri" w:eastAsia="Microsoft YaHei"/>
          <w:b/>
          <w:color w:val="172033"/>
          <w:sz w:val="46"/>
        </w:rPr>
        <w:t>声音分析方法准确性与可复现性说明</w:t>
      </w:r>
    </w:p>
    <w:p>
      <w:pPr>
        <w:spacing w:after="259"/>
      </w:pPr>
      <w:r>
        <w:rPr>
          <w:rFonts w:ascii="Calibri" w:hAnsi="Calibri" w:eastAsia="Microsoft YaHei"/>
          <w:b/>
          <w:color w:val="007C91"/>
          <w:sz w:val="25"/>
        </w:rPr>
        <w:t>HPDI低温泵 | 干扰排除、包络提取与基准比较证据链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EF3C7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先说结论  </w:t>
            </w:r>
            <w:r>
              <w:rPr>
                <w:rFonts w:ascii="Calibri" w:hAnsi="Calibri" w:eastAsia="Microsoft YaHei"/>
                <w:color w:val="172033"/>
                <w:sz w:val="22"/>
              </w:rPr>
              <w:t>软件名称本身不能证明结果正确。可信度来自固定输入、固定算法、多方法交叉验证、统计区间、原始文件校验和重复试验。当前结果可用于同条件工程比较，但尚不能替代认证声级测试。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</w:rPr>
        <w:t>1. 当前结果能证明到什么程度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72033"/>
          <w:sz w:val="22"/>
        </w:rPr>
        <w:t>算法可复现性已经具备：同一 WAV 输入、同一脚本和参数会得到同一事件、同一曲线和同一比较结果；源文件通过 SHA-256 校验，能证明分析过程中没有更换录音。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72033"/>
          <w:sz w:val="22"/>
        </w:rPr>
        <w:t>单次测试内部统计已经具备：每段录音包含几十次咚声，可计算常见水平、较响水平和事件重采样区间。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72033"/>
          <w:sz w:val="22"/>
        </w:rPr>
        <w:t>试验重复性尚未完全具备：目前每个产品、每个转速主要只有一段有效录音。几十次咚声属于同一次试验，不能替代拆装后重复、不同日期重复和测试顺序随机化。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对领导的准确表述  </w:t>
            </w:r>
            <w:r>
              <w:rPr>
                <w:rFonts w:ascii="Calibri" w:hAnsi="Calibri" w:eastAsia="Microsoft YaHei"/>
                <w:color w:val="172033"/>
                <w:sz w:val="22"/>
              </w:rPr>
              <w:t>现有分析能够证明某些转速下的声音差异具有较强内部一致性，但不能宣称所有绝对 dB(A)均为认证值，也不能用单次录音证明长期量产一致性。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</w:rPr>
        <w:t>2. 使用的软件和可追溯文件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300"/>
        <w:gridCol w:w="51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工具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8"/>
              </w:rPr>
              <w:t>FFmpeg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8.0.1</w:t>
            </w:r>
          </w:p>
        </w:tc>
        <w:tc>
          <w:tcPr>
            <w:tcW w:type="dxa" w:w="51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从 MP4 无损提取单声道 44.1 kHz PCM 音频。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8"/>
              </w:rPr>
              <w:t>Python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3.11.9</w:t>
            </w:r>
          </w:p>
        </w:tc>
        <w:tc>
          <w:tcPr>
            <w:tcW w:type="dxa" w:w="51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执行固定分析脚本和批量处理。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8"/>
              </w:rPr>
              <w:t>SciPy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1.17.1</w:t>
            </w:r>
          </w:p>
        </w:tc>
        <w:tc>
          <w:tcPr>
            <w:tcW w:type="dxa" w:w="51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数字滤波、A计权、短时能量、峰值检测。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8"/>
              </w:rPr>
              <w:t>NumPy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2.0.2</w:t>
            </w:r>
          </w:p>
        </w:tc>
        <w:tc>
          <w:tcPr>
            <w:tcW w:type="dxa" w:w="51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功率计算、统计分位和事件重采样。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8"/>
              </w:rPr>
              <w:t>Matplotlib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3.10.8</w:t>
            </w:r>
          </w:p>
        </w:tc>
        <w:tc>
          <w:tcPr>
            <w:tcW w:type="dxa" w:w="51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输出包络、单声事件和一致性验证图。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8"/>
              </w:rPr>
              <w:t>AR824分贝仪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视频可见 dBA</w:t>
            </w:r>
          </w:p>
        </w:tc>
        <w:tc>
          <w:tcPr>
            <w:tcW w:type="dxa" w:w="51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提供现场总声级参考；FAST/SLOW标志未能从画面确认。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color w:val="172033"/>
          <w:sz w:val="22"/>
        </w:rPr>
        <w:t>交付数据中保存源 WAV 路径和 SHA-256；保存每次咚声的时间、声级、背景和污染指标；保存汇总 CSV、分析脚本和图表。任何人可从事件明细追溯到原录音时间点。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</w:rPr>
        <w:t>3. 从原视频到比较结果的完整流程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200"/>
        <w:gridCol w:w="6260"/>
      </w:tblGrid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处理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固定口径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</w:tr>
      <w:tr>
        <w:tc>
          <w:tcPr>
            <w:tcW w:type="dxa" w:w="9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8"/>
              </w:rPr>
              <w:t>1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提取音频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MP4 转为单声道 44.1 kHz PCM，去除直流分量，不做人工音量归一化。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8"/>
              </w:rPr>
              <w:t>2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限制频带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泵咚声主通道 45-650 Hz；排气污染监测通道 1800-9000 Hz。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8"/>
              </w:rPr>
              <w:t>3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A计权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按人耳频率敏感度计算估算 dB(A)；同时保留未计权结果做交叉检查。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8"/>
              </w:rPr>
              <w:t>4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提取包络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80 ms 短时均方根窗口、20 ms 步长；显示连续冲击强弱变化。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8"/>
              </w:rPr>
              <w:t>5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检测咚声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按包络突出度检测，相邻事件至少 0.18 s；高频排气占优的峰值剔除。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8"/>
              </w:rPr>
              <w:t>6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计算比较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事件窗口为峰值前 60 ms 至后 180 ms；扣除前后局部背景功率；只比较相同转速。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</w:rPr>
        <w:t>4. 如何排除台架嗡声和排气尖声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72033"/>
          <w:sz w:val="22"/>
        </w:rPr>
        <w:t>台架嗡声：</w:t>
      </w:r>
      <w:r>
        <w:rPr>
          <w:rFonts w:ascii="Calibri" w:hAnsi="Calibri" w:eastAsia="Microsoft YaHei"/>
          <w:color w:val="172033"/>
          <w:sz w:val="22"/>
        </w:rPr>
        <w:t>单独录制的“台架1/台架2”用于识别稳定频谱。正式事件不直接使用整段总声压，而是在咚声前后各取局部背景，在功率域相减。稳定持续的嗡声因此被大幅抵消。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72033"/>
          <w:sz w:val="22"/>
        </w:rPr>
        <w:t>排气尖声：</w:t>
      </w:r>
      <w:r>
        <w:rPr>
          <w:rFonts w:ascii="Calibri" w:hAnsi="Calibri" w:eastAsia="Microsoft YaHei"/>
          <w:color w:val="172033"/>
          <w:sz w:val="22"/>
        </w:rPr>
        <w:t>排气主要集中在高频。算法单独计算 1800-9000 Hz 包络；若高频包络相对 45-650 Hz 泵冲击通道异常占优，该事件标记为污染并不进入咚声统计。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72033"/>
          <w:sz w:val="22"/>
        </w:rPr>
        <w:t>防止误删：</w:t>
      </w:r>
      <w:r>
        <w:rPr>
          <w:rFonts w:ascii="Calibri" w:hAnsi="Calibri" w:eastAsia="Microsoft YaHei"/>
          <w:color w:val="172033"/>
          <w:sz w:val="22"/>
        </w:rPr>
        <w:t>排气高频通道只用于判断污染，不直接决定泵咚声大小；泵声指标始终来自低中频冲击通道。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EE2E2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边界  </w:t>
            </w:r>
            <w:r>
              <w:rPr>
                <w:rFonts w:ascii="Calibri" w:hAnsi="Calibri" w:eastAsia="Microsoft YaHei"/>
                <w:color w:val="172033"/>
                <w:sz w:val="22"/>
              </w:rPr>
              <w:t>如果排气声同时包含很强的低频脉冲，并且与泵咚声在同一时刻重叠，仅靠单通道手机录音无法百分之百分离。这类区间只能剔除或在复测时避开。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</w:rPr>
        <w:t>5. 包络和“常见/较响”如何定义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整体包络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每 20 ms 更新一次 80 ms 短时能量，用于看连续若干周期由小变大或由大变小。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常见咚声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把有效咚声按大小排列，取中间位置，代表大多数正常周期的典型听感。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较响咚声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取偏响的约 10%事件，代表客户更容易注意到的冲击，不等同于单个最大值。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color w:val="172033"/>
          <w:sz w:val="22"/>
        </w:rPr>
        <w:t>正文不使用 P50/P90/P95 术语，是为了便于客户阅读；算法内部保留这些统计位置，确保每次新增测试使用同一规则。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</w:rPr>
        <w:t>6. 多方法交叉验证：避免单一算法决定结论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72033"/>
          <w:sz w:val="22"/>
        </w:rPr>
        <w:t>同一批咚声同时使用 5 种方法复核：45-650 Hz 未计权、45-650 Hz A计权、45-120 Hz、120-250 Hz 和 250-650 Hz。每种方法对事件随机重采样 4000 次，形成 95%区间。浅色柱表示区间跨过“无差异”，不能下确定结论。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2994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全部转速多方法一致性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94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Calibri" w:hAnsi="Calibri" w:eastAsia="Microsoft YaHei"/>
          <w:i/>
          <w:color w:val="555555"/>
          <w:sz w:val="18"/>
        </w:rPr>
        <w:t>图1  全部匹配转速的多方法一致性验证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600"/>
        <w:gridCol w:w="3800"/>
        <w:gridCol w:w="2860"/>
      </w:tblGrid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转速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5种方法结果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证据判断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700 rpm</w:t>
            </w:r>
          </w:p>
        </w:tc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常见咚声</w:t>
            </w:r>
          </w:p>
        </w:tc>
        <w:tc>
          <w:tcPr>
            <w:tcW w:type="dxa" w:w="3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较低 0 / 较高 0 / 无法区分 5</w:t>
            </w:r>
          </w:p>
        </w:tc>
        <w:tc>
          <w:tcPr>
            <w:tcW w:type="dxa" w:w="2860"/>
            <w:shd w:fill="FEF3C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当前不能定论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700 rpm</w:t>
            </w:r>
          </w:p>
        </w:tc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较响咚声</w:t>
            </w:r>
          </w:p>
        </w:tc>
        <w:tc>
          <w:tcPr>
            <w:tcW w:type="dxa" w:w="3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较低 0 / 较高 0 / 无法区分 5</w:t>
            </w:r>
          </w:p>
        </w:tc>
        <w:tc>
          <w:tcPr>
            <w:tcW w:type="dxa" w:w="2860"/>
            <w:shd w:fill="FEF3C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当前不能定论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800 rpm</w:t>
            </w:r>
          </w:p>
        </w:tc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常见咚声</w:t>
            </w:r>
          </w:p>
        </w:tc>
        <w:tc>
          <w:tcPr>
            <w:tcW w:type="dxa" w:w="3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较低 4 / 较高 0 / 无法区分 1</w:t>
            </w:r>
          </w:p>
        </w:tc>
        <w:tc>
          <w:tcPr>
            <w:tcW w:type="dxa" w:w="2860"/>
            <w:shd w:fill="DCFCE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较强支持富瑞较低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800 rpm</w:t>
            </w:r>
          </w:p>
        </w:tc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较响咚声</w:t>
            </w:r>
          </w:p>
        </w:tc>
        <w:tc>
          <w:tcPr>
            <w:tcW w:type="dxa" w:w="3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较低 0 / 较高 0 / 无法区分 5</w:t>
            </w:r>
          </w:p>
        </w:tc>
        <w:tc>
          <w:tcPr>
            <w:tcW w:type="dxa" w:w="2860"/>
            <w:shd w:fill="FEF3C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当前不能定论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900 rpm</w:t>
            </w:r>
          </w:p>
        </w:tc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常见咚声</w:t>
            </w:r>
          </w:p>
        </w:tc>
        <w:tc>
          <w:tcPr>
            <w:tcW w:type="dxa" w:w="3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较低 0 / 较高 2 / 无法区分 3</w:t>
            </w:r>
          </w:p>
        </w:tc>
        <w:tc>
          <w:tcPr>
            <w:tcW w:type="dxa" w:w="2860"/>
            <w:shd w:fill="FEF3C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当前不能定论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900 rpm</w:t>
            </w:r>
          </w:p>
        </w:tc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较响咚声</w:t>
            </w:r>
          </w:p>
        </w:tc>
        <w:tc>
          <w:tcPr>
            <w:tcW w:type="dxa" w:w="3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较低 0 / 较高 5 / 无法区分 0</w:t>
            </w:r>
          </w:p>
        </w:tc>
        <w:tc>
          <w:tcPr>
            <w:tcW w:type="dxa" w:w="2860"/>
            <w:shd w:fill="FEE2E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较强支持富瑞偏响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1125 rpm</w:t>
            </w:r>
          </w:p>
        </w:tc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常见咚声</w:t>
            </w:r>
          </w:p>
        </w:tc>
        <w:tc>
          <w:tcPr>
            <w:tcW w:type="dxa" w:w="3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较低 0 / 较高 0 / 无法区分 5</w:t>
            </w:r>
          </w:p>
        </w:tc>
        <w:tc>
          <w:tcPr>
            <w:tcW w:type="dxa" w:w="2860"/>
            <w:shd w:fill="FEF3C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当前不能定论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1125 rpm</w:t>
            </w:r>
          </w:p>
        </w:tc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较响咚声</w:t>
            </w:r>
          </w:p>
        </w:tc>
        <w:tc>
          <w:tcPr>
            <w:tcW w:type="dxa" w:w="3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较低 0 / 较高 4 / 无法区分 1</w:t>
            </w:r>
          </w:p>
        </w:tc>
        <w:tc>
          <w:tcPr>
            <w:tcW w:type="dxa" w:w="2860"/>
            <w:shd w:fill="FEE2E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较强支持富瑞偏响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当前最稳的结论  </w:t>
            </w:r>
            <w:r>
              <w:rPr>
                <w:rFonts w:ascii="Calibri" w:hAnsi="Calibri" w:eastAsia="Microsoft YaHei"/>
                <w:color w:val="172033"/>
                <w:sz w:val="22"/>
              </w:rPr>
              <w:t>900 rpm 和 1125 rpm 的较响咚声得到多方法支持，富瑞偏响；800 rpm 的常见咚声多方法支持较低，但较响咚声不能定论；700 rpm 两类指标均需要重复试验。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</w:rPr>
        <w:t>7. 分贝仪校准为什么仍是“估算 dB(A)”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72033"/>
          <w:sz w:val="22"/>
        </w:rPr>
        <w:t>视频画面可读取 AR824 的 dBA 数值，1000 rpm 样本中可见 93.9、94.5、93.3、95.3、93.8 和 90.3 dBA。手机全频 A计权电平与前 5 个读数可建立约 117.2 dB 的偏移，但最后一个点没有同步下降，说明手机自动增益或仪器时间响应造成动态不一致。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72033"/>
          <w:sz w:val="22"/>
        </w:rPr>
        <w:t>因此报告用正数的估算 dB(A)帮助阅读包络；真正用于产品判断的是同条件下“高于东德/低于东德多少 dB”。固定偏移在相减时会抵消，故相对差值比绝对声级可靠。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EE2E2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不能这样对外表述  </w:t>
            </w:r>
            <w:r>
              <w:rPr>
                <w:rFonts w:ascii="Calibri" w:hAnsi="Calibri" w:eastAsia="Microsoft YaHei"/>
                <w:color w:val="172033"/>
                <w:sz w:val="22"/>
              </w:rPr>
              <w:t>不能说手机录音已经等同于校准声级计，也不能把估算 dB(A)作为法规、认证或合同验收值。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</w:rPr>
        <w:t>8. 可信度分级和升级条件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500"/>
        <w:gridCol w:w="4760"/>
      </w:tblGrid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所需证据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允许表述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</w:tr>
      <w:tr>
        <w:tc>
          <w:tcPr>
            <w:tcW w:type="dxa" w:w="1100"/>
            <w:shd w:fill="DCFCE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8"/>
              </w:rPr>
              <w:t>A级</w:t>
            </w:r>
          </w:p>
        </w:tc>
        <w:tc>
          <w:tcPr>
            <w:tcW w:type="dxa" w:w="35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每个状态至少 3 次独立重复；背景差小于约 1 dB；4/5以上方法同向；95%区间不跨无差异；重复标准差不大于约 1.5 dB。</w:t>
            </w:r>
          </w:p>
        </w:tc>
        <w:tc>
          <w:tcPr>
            <w:tcW w:type="dxa" w:w="47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可以向客户说明稳定优于/劣于基准。</w:t>
            </w:r>
          </w:p>
        </w:tc>
      </w:tr>
      <w:tr>
        <w:tc>
          <w:tcPr>
            <w:tcW w:type="dxa" w:w="1100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8"/>
              </w:rPr>
              <w:t>B级</w:t>
            </w:r>
          </w:p>
        </w:tc>
        <w:tc>
          <w:tcPr>
            <w:tcW w:type="dxa" w:w="35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单次录音内部事件充足；多方法同向；事件重采样区间不跨无差异。</w:t>
            </w:r>
          </w:p>
        </w:tc>
        <w:tc>
          <w:tcPr>
            <w:tcW w:type="dxa" w:w="47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可以作为工程判断和优化方向，不宣称长期重复性。</w:t>
            </w:r>
          </w:p>
        </w:tc>
      </w:tr>
      <w:tr>
        <w:tc>
          <w:tcPr>
            <w:tcW w:type="dxa" w:w="1100"/>
            <w:shd w:fill="FEF3C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8"/>
              </w:rPr>
              <w:t>C级</w:t>
            </w:r>
          </w:p>
        </w:tc>
        <w:tc>
          <w:tcPr>
            <w:tcW w:type="dxa" w:w="35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方法方向不一致，或统计区间跨无差异，或背景/排气污染明显。</w:t>
            </w:r>
          </w:p>
        </w:tc>
        <w:tc>
          <w:tcPr>
            <w:tcW w:type="dxa" w:w="47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只能说接近或待复测，不能判定优劣。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</w:rPr>
        <w:t>9. 建议的下一轮验证试验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72033"/>
          <w:sz w:val="22"/>
        </w:rPr>
        <w:t>1. 每个产品、每个转速至少录制 3 次，每次稳定工作不少于 60 s；测试顺序交叉或随机，避免温度随时间变化形成偏差。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72033"/>
          <w:sz w:val="22"/>
        </w:rPr>
        <w:t>2. 手机和分贝仪使用固定支架并做位置标记；保持同一录音软件和模式。若能关闭手机自动增益，优先关闭。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72033"/>
          <w:sz w:val="22"/>
        </w:rPr>
        <w:t>3. 开始和结束前记录台架背景；确保同转速两段背景差不超过约 1 dB，否则该组不作为正式比较。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72033"/>
          <w:sz w:val="22"/>
        </w:rPr>
        <w:t>4. 条件允许时增加一支可导出 PCM 的测量麦克风，并用 94 dB、1 kHz 声校准器在测试前后校准。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72033"/>
          <w:sz w:val="22"/>
        </w:rPr>
        <w:t>5. 同步记录换向信号、油缸位移、系统油压和低温泵出口压力；用统一触发信号定位咚声动作阶段。</w:t>
      </w:r>
    </w:p>
    <w:p>
      <w:pPr>
        <w:pStyle w:val="Heading1"/>
        <w:keepNext/>
      </w:pPr>
      <w:r>
        <w:rPr>
          <w:rFonts w:ascii="Calibri" w:hAnsi="Calibri" w:eastAsia="Microsoft YaHei"/>
        </w:rPr>
        <w:t>10. 可复核交付物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文件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源文件校验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source_file_hashes.csv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逐事件明细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event_details.csv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全部转速一致性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all_speed_method_validation.csv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一致性汇总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method_consistency_summary.csv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主分析脚本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build_hpdi_baseline_v2.py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验证脚本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validate_hpdi_all_speeds.py / validate_hpdi_800_methods.py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48B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474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4748B"/>
        <w:sz w:val="17"/>
      </w:rPr>
      <w:t>HPDI低温泵声音工程对比 | 东德基准 vs 富瑞初始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