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172033"/>
          <w:sz w:val="44"/>
        </w:rPr>
        <w:t>后续声音分析口径复核与修正说明</w:t>
      </w:r>
    </w:p>
    <w:p>
      <w:pPr>
        <w:spacing w:after="280"/>
      </w:pPr>
      <w:r>
        <w:rPr>
          <w:rFonts w:ascii="Calibri" w:hAnsi="Calibri" w:eastAsia="Microsoft YaHei"/>
          <w:b/>
          <w:color w:val="007C91"/>
          <w:sz w:val="25"/>
        </w:rPr>
        <w:t>涉及0716-0723后续测试及可选对比工具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E2E2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修正结论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V3曾把每段背景对齐后的“咚声突出度”作为主声级，并反向重算东德和富瑞初始基准。这违反了基准锁定原则。现已撤销该做法：V2基准数值、算法和固定校准偏移全部恢复，后续测试只能按同一固定方法追加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1. 用户发现的问题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同样选择东德900 rpm和富瑞初始900 rpm，上一版工具显示富瑞初始常见咚声高于东德7.6 dB、较响咚声高于东德5.1 dB；V3错误版本却显示高1.6 dB和低0.9 dB。该差异不是Excel引用错误，而是分析口径被改变。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1900"/>
        <w:gridCol w:w="3260"/>
      </w:tblGrid>
      <w:tr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900 rpm项目</w:t>
            </w:r>
          </w:p>
        </w:tc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V2既定基准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V3错误归一化</w:t>
            </w:r>
          </w:p>
        </w:tc>
        <w:tc>
          <w:tcPr>
            <w:tcW w:type="dxa" w:w="3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变化原因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东德背景平移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0.0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+3.5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背景被强制对齐到65 dB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富瑞初始背景平移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0.0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-2.5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背景被强制对齐到65 dB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常见咚声差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富瑞高7.6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富瑞高1.6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相对差被压缩约6.0 dB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较响咚声差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富瑞高5.1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富瑞低0.9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结论方向被错误翻转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2. 为什么背景对齐不能覆盖基准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V2固定校准偏移来自富瑞初始1000 rpm视频中的分贝仪画面，并统一用于基准视频。它不是每个视频独立校准，但一旦被确定为项目基准，后续对比必须保持算法不变。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每段背景对齐实际比较的是“咚声相对本段背景有多突出”。背景变化既可能来自手机自动增益，也可能来自真实台架嗡声、泵连续噪声或工况变化。没有独立证据时，不能把全部背景差都当成手机增益，更不能用该平移值修改既定基准。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正确命名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背景对齐结果只能作为“咚声突出度辅助指标”，不能称为绝对声级、背景归一化声级主结论，也不能替代固定基准结果。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3. 对0723交付泵结论的影响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600"/>
        <w:gridCol w:w="3760"/>
      </w:tblGrid>
      <w:tr>
        <w:tc>
          <w:tcPr>
            <w:tcW w:type="dxa" w:w="3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比较方法</w:t>
            </w:r>
          </w:p>
        </w:tc>
        <w:tc>
          <w:tcPr>
            <w:tcW w:type="dxa" w:w="2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较响咚声相对东德700</w:t>
            </w:r>
          </w:p>
        </w:tc>
        <w:tc>
          <w:tcPr>
            <w:tcW w:type="dxa" w:w="3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能否作为声级结论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V2固定基准算法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高于8.0 dB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受跨日期手机自动增益影响，需复测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背景突出度辅助指标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低于2.1 dB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只能说明重咚相对本段背景不突出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两种方法方向相反，说明现有0723无分贝仪视频不足以量化证明交付泵绝对声音优于东德。用户主观感觉“交付泵更好”仍可作为试验观察，但不能用当前软件结果对客户宣称较响声低2.1 dB。</w:t>
      </w:r>
    </w:p>
    <w:p>
      <w:pPr>
        <w:pStyle w:val="Heading1"/>
        <w:keepNext/>
      </w:pPr>
      <w:r>
        <w:rPr>
          <w:rFonts w:ascii="Calibri" w:hAnsi="Calibri" w:eastAsia="Microsoft YaHei"/>
        </w:rPr>
        <w:t>4. 修正后的基准管理规则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84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固定要求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东德和富瑞初始V2数值永久锁定；任何后续脚本不得覆盖。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主对比固定使用V2频带、事件提取、背景功率扣除和校准偏移。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新增算法只能作为独立辅助列或独立工作表，不能改写历史基准。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无分贝仪的跨日期视频必须标记手机自动增益风险，不直接形成客户声级结论。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后续正式测试应同步声级计，或锁定手机手动录音增益，并保留开始/结束校准声。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5. 已完成的修正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已生成《HPDI泵声音固定基准对比工具_复核修正版.xlsx》。工具默认打开东德900和富瑞初始900，结果恢复为常见声高7.6 dB、较响声高5.1 dB；另设“既定基准结果”工作表用于核对全部V2基准。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0716-0723后续数据仍保留在工具中，但统一标记为固定算法下的工程估算。背景突出度结果不再参与主声级判断。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748B"/>
        <w:sz w:val="17"/>
      </w:rPr>
      <w:t>HPDI低温泵声音分析 | 口径复核与修正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