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36"/>
          <w:szCs w:val="36"/>
        </w:rPr>
        <w:t xml:space="preserve">BÁO CÁO KẾT QUẢ GIAI ĐOẠN 1</w:t>
      </w:r>
    </w:p>
    <w:p>
      <w:pPr>
        <w:jc w:val="center"/>
      </w:pPr>
      <w:r>
        <w:rPr>
          <w:b/>
          <w:sz w:val="34"/>
          <w:szCs w:val="34"/>
        </w:rPr>
        <w:t xml:space="preserve">HỆ THỐNG M-CDSS</w:t>
      </w:r>
    </w:p>
    <w:p>
      <w:pPr>
        <w:jc w:val="center"/>
        <w:spacing w:before="400"/>
      </w:pPr>
      <w:r>
        <w:rPr>
          <w:sz w:val="22"/>
          <w:szCs w:val="22"/>
        </w:rPr>
        <w:t xml:space="preserve">Phiên bản strict split — 28/10/2026</w:t>
      </w:r>
    </w:p>
    <w:p>
      <w:pPr>
        <w:jc w:val="center"/>
        <w:spacing w:before="400"/>
      </w:pPr>
      <w:r>
        <w:rPr>
          <w:sz w:val="20"/>
          <w:szCs w:val="20"/>
        </w:rPr>
        <w:t xml:space="preserve">Dữ liệu tổng hợp và ghi chú lâm sàng đã khử định danh</w:t>
      </w:r>
    </w:p>
    <w:p>
      <w:r>
        <w:br w:type="page"/>
      </w:r>
    </w:p>
    <w:p>
      <w:pPr>
        <w:pStyle w:val="Heading1"/>
      </w:pPr>
      <w:r>
        <w:rPr>
          <w:b/>
          <w:sz w:val="28"/>
          <w:szCs w:val="28"/>
        </w:rPr>
        <w:t xml:space="preserve">Tóm tắt điều hành</w:t>
      </w:r>
    </w:p>
    <w:p>
      <w:pPr>
        <w:pStyle w:val="Normal"/>
      </w:pPr>
      <w:r>
        <w:rPr>
          <w:sz w:val="22"/>
          <w:szCs w:val="22"/>
        </w:rPr>
        <w:t xml:space="preserve">Báo cáo này thay thế các số liệu benchmark trước đây. Kiểm tra lại phát hiện nguy cơ rò rỉ dữ liệu do ghi chú hoặc cụm nguồn có thể xuất hiện ở nhiều tập, văn bản chứa tín hiệu quá trực tiếp của nhãn, và một số luật sinh dữ liệu cũ phụ thuộc nhãn. Các kết quả accuracy 94–98% trước đây vì thế không còn là kết luận khoa học chính.</w:t>
      </w:r>
    </w:p>
    <w:p>
      <w:pPr>
        <w:pStyle w:val="Normal"/>
      </w:pPr>
      <w:r>
        <w:rPr>
          <w:sz w:val="22"/>
          <w:szCs w:val="22"/>
        </w:rPr>
        <w:t xml:space="preserve">Pipeline đã được tái chạy theo chuỗi: khôi phục CSV → converter mới → strict split theo nhóm nguồn → audit → baseline. Trên 302 mẫu kiểm thử độc lập theo nhóm, Bio_ClinicalBERT là baseline tốt nhất; tuy nhiên, đây vẫn chỉ là đánh giá nội bộ trên dữ liệu tổng hợp.</w:t>
      </w:r>
    </w:p>
    <w:p>
      <w:pPr>
        <w:pStyle w:val="Heading1"/>
      </w:pPr>
      <w:r>
        <w:rPr>
          <w:b/>
          <w:sz w:val="28"/>
          <w:szCs w:val="28"/>
        </w:rPr>
        <w:t xml:space="preserve">Kết quả benchmark</w:t>
      </w:r>
    </w:p>
    <w:tbl>
      <w:tblPr>
        <w:tblW w:w="0" w:type="auto"/>
        <w:tblBorders>
          <w:top w:val="single" w:sz="4"/>
          <w:left w:val="single" w:sz="4"/>
          <w:bottom w:val="single" w:sz="4"/>
          <w:right w:val="single" w:sz="4"/>
          <w:insideH w:val="single" w:sz="4"/>
          <w:insideV w:val="single" w:sz="4"/>
        </w:tblBorders>
      </w:tblPr>
      <w:tblGrid>
        <w:gridCol w:w="2500"/>
        <w:gridCol w:w="1150"/>
        <w:gridCol w:w="1150"/>
        <w:gridCol w:w="1000"/>
        <w:gridCol w:w="1000"/>
        <w:gridCol w:w="850"/>
        <w:gridCol w:w="750"/>
      </w:tblGrid>
      <w:tr>
        <w:tc>
          <w:tcPr>
            <w:tcW w:w="2500" w:type="dxa"/>
            <w:shd w:val="clear" w:fill="D9EAF7"/>
          </w:tcPr>
          <w:p>
            <w:pPr>
              <w:jc w:val="center"/>
            </w:pPr>
            <w:r>
              <w:rPr>
                <w:b/>
                <w:sz w:val="18"/>
                <w:szCs w:val="18"/>
              </w:rPr>
              <w:t xml:space="preserve">Baseline</w:t>
            </w:r>
          </w:p>
        </w:tc>
        <w:tc>
          <w:tcPr>
            <w:tcW w:w="1150" w:type="dxa"/>
            <w:shd w:val="clear" w:fill="D9EAF7"/>
          </w:tcPr>
          <w:p>
            <w:pPr>
              <w:jc w:val="center"/>
            </w:pPr>
            <w:r>
              <w:rPr>
                <w:b/>
                <w:sz w:val="18"/>
                <w:szCs w:val="18"/>
              </w:rPr>
              <w:t xml:space="preserve">AUROC macro</w:t>
            </w:r>
          </w:p>
        </w:tc>
        <w:tc>
          <w:tcPr>
            <w:tcW w:w="1150" w:type="dxa"/>
            <w:shd w:val="clear" w:fill="D9EAF7"/>
          </w:tcPr>
          <w:p>
            <w:pPr>
              <w:jc w:val="center"/>
            </w:pPr>
            <w:r>
              <w:rPr>
                <w:b/>
                <w:sz w:val="18"/>
                <w:szCs w:val="18"/>
              </w:rPr>
              <w:t xml:space="preserve">AUPRC macro</w:t>
            </w:r>
          </w:p>
        </w:tc>
        <w:tc>
          <w:tcPr>
            <w:tcW w:w="1000" w:type="dxa"/>
            <w:shd w:val="clear" w:fill="D9EAF7"/>
          </w:tcPr>
          <w:p>
            <w:pPr>
              <w:jc w:val="center"/>
            </w:pPr>
            <w:r>
              <w:rPr>
                <w:b/>
                <w:sz w:val="18"/>
                <w:szCs w:val="18"/>
              </w:rPr>
              <w:t xml:space="preserve">F1 macro</w:t>
            </w:r>
          </w:p>
        </w:tc>
        <w:tc>
          <w:tcPr>
            <w:tcW w:w="1000" w:type="dxa"/>
            <w:shd w:val="clear" w:fill="D9EAF7"/>
          </w:tcPr>
          <w:p>
            <w:pPr>
              <w:jc w:val="center"/>
            </w:pPr>
            <w:r>
              <w:rPr>
                <w:b/>
                <w:sz w:val="18"/>
                <w:szCs w:val="18"/>
              </w:rPr>
              <w:t xml:space="preserve">Accuracy</w:t>
            </w:r>
          </w:p>
        </w:tc>
        <w:tc>
          <w:tcPr>
            <w:tcW w:w="850" w:type="dxa"/>
            <w:shd w:val="clear" w:fill="D9EAF7"/>
          </w:tcPr>
          <w:p>
            <w:pPr>
              <w:jc w:val="center"/>
            </w:pPr>
            <w:r>
              <w:rPr>
                <w:b/>
                <w:sz w:val="18"/>
                <w:szCs w:val="18"/>
              </w:rPr>
              <w:t xml:space="preserve">Brier</w:t>
            </w:r>
          </w:p>
        </w:tc>
        <w:tc>
          <w:tcPr>
            <w:tcW w:w="750" w:type="dxa"/>
            <w:shd w:val="clear" w:fill="D9EAF7"/>
          </w:tcPr>
          <w:p>
            <w:pPr>
              <w:jc w:val="center"/>
            </w:pPr>
            <w:r>
              <w:rPr>
                <w:b/>
                <w:sz w:val="18"/>
                <w:szCs w:val="18"/>
              </w:rPr>
              <w:t xml:space="preserve">ECE</w:t>
            </w:r>
          </w:p>
        </w:tc>
      </w:tr>
      <w:tr>
        <w:tc>
          <w:tcPr>
            <w:tcW w:w="2500" w:type="dxa"/>
          </w:tcPr>
          <w:p>
            <w:pPr>
              <w:jc w:val="center"/>
            </w:pPr>
            <w:r>
              <w:rPr>
                <w:sz w:val="18"/>
                <w:szCs w:val="18"/>
              </w:rPr>
              <w:t xml:space="preserve">CatBoost (bảng)</w:t>
            </w:r>
          </w:p>
        </w:tc>
        <w:tc>
          <w:tcPr>
            <w:tcW w:w="1150" w:type="dxa"/>
          </w:tcPr>
          <w:p>
            <w:pPr>
              <w:jc w:val="center"/>
            </w:pPr>
            <w:r>
              <w:rPr>
                <w:sz w:val="18"/>
                <w:szCs w:val="18"/>
              </w:rPr>
              <w:t xml:space="preserve">0,9223</w:t>
            </w:r>
          </w:p>
        </w:tc>
        <w:tc>
          <w:tcPr>
            <w:tcW w:w="1150" w:type="dxa"/>
          </w:tcPr>
          <w:p>
            <w:pPr>
              <w:jc w:val="center"/>
            </w:pPr>
            <w:r>
              <w:rPr>
                <w:sz w:val="18"/>
                <w:szCs w:val="18"/>
              </w:rPr>
              <w:t xml:space="preserve">0,7872</w:t>
            </w:r>
          </w:p>
        </w:tc>
        <w:tc>
          <w:tcPr>
            <w:tcW w:w="1000" w:type="dxa"/>
          </w:tcPr>
          <w:p>
            <w:pPr>
              <w:jc w:val="center"/>
            </w:pPr>
            <w:r>
              <w:rPr>
                <w:sz w:val="18"/>
                <w:szCs w:val="18"/>
              </w:rPr>
              <w:t xml:space="preserve">0,6083</w:t>
            </w:r>
          </w:p>
        </w:tc>
        <w:tc>
          <w:tcPr>
            <w:tcW w:w="1000" w:type="dxa"/>
          </w:tcPr>
          <w:p>
            <w:pPr>
              <w:jc w:val="center"/>
            </w:pPr>
            <w:r>
              <w:rPr>
                <w:sz w:val="18"/>
                <w:szCs w:val="18"/>
              </w:rPr>
              <w:t xml:space="preserve">0,6854</w:t>
            </w:r>
          </w:p>
        </w:tc>
        <w:tc>
          <w:tcPr>
            <w:tcW w:w="850" w:type="dxa"/>
          </w:tcPr>
          <w:p>
            <w:pPr>
              <w:jc w:val="center"/>
            </w:pPr>
            <w:r>
              <w:rPr>
                <w:sz w:val="18"/>
                <w:szCs w:val="18"/>
              </w:rPr>
              <w:t xml:space="preserve">0,3844</w:t>
            </w:r>
          </w:p>
        </w:tc>
        <w:tc>
          <w:tcPr>
            <w:tcW w:w="750" w:type="dxa"/>
          </w:tcPr>
          <w:p>
            <w:pPr>
              <w:jc w:val="center"/>
            </w:pPr>
            <w:r>
              <w:rPr>
                <w:sz w:val="18"/>
                <w:szCs w:val="18"/>
              </w:rPr>
              <w:t xml:space="preserve">0,0663</w:t>
            </w:r>
          </w:p>
        </w:tc>
      </w:tr>
      <w:tr>
        <w:tc>
          <w:tcPr>
            <w:tcW w:w="2500" w:type="dxa"/>
          </w:tcPr>
          <w:p>
            <w:pPr>
              <w:jc w:val="center"/>
            </w:pPr>
            <w:r>
              <w:rPr>
                <w:sz w:val="18"/>
                <w:szCs w:val="18"/>
              </w:rPr>
              <w:t xml:space="preserve">FT-Transformer (bảng)</w:t>
            </w:r>
          </w:p>
        </w:tc>
        <w:tc>
          <w:tcPr>
            <w:tcW w:w="1150" w:type="dxa"/>
          </w:tcPr>
          <w:p>
            <w:pPr>
              <w:jc w:val="center"/>
            </w:pPr>
            <w:r>
              <w:rPr>
                <w:sz w:val="18"/>
                <w:szCs w:val="18"/>
              </w:rPr>
              <w:t xml:space="preserve">0,8976</w:t>
            </w:r>
          </w:p>
        </w:tc>
        <w:tc>
          <w:tcPr>
            <w:tcW w:w="1150" w:type="dxa"/>
          </w:tcPr>
          <w:p>
            <w:pPr>
              <w:jc w:val="center"/>
            </w:pPr>
            <w:r>
              <w:rPr>
                <w:sz w:val="18"/>
                <w:szCs w:val="18"/>
              </w:rPr>
              <w:t xml:space="preserve">0,7023</w:t>
            </w:r>
          </w:p>
        </w:tc>
        <w:tc>
          <w:tcPr>
            <w:tcW w:w="1000" w:type="dxa"/>
          </w:tcPr>
          <w:p>
            <w:pPr>
              <w:jc w:val="center"/>
            </w:pPr>
            <w:r>
              <w:rPr>
                <w:sz w:val="18"/>
                <w:szCs w:val="18"/>
              </w:rPr>
              <w:t xml:space="preserve">0,5789</w:t>
            </w:r>
          </w:p>
        </w:tc>
        <w:tc>
          <w:tcPr>
            <w:tcW w:w="1000" w:type="dxa"/>
          </w:tcPr>
          <w:p>
            <w:pPr>
              <w:jc w:val="center"/>
            </w:pPr>
            <w:r>
              <w:rPr>
                <w:sz w:val="18"/>
                <w:szCs w:val="18"/>
              </w:rPr>
              <w:t xml:space="preserve">0,6589</w:t>
            </w:r>
          </w:p>
        </w:tc>
        <w:tc>
          <w:tcPr>
            <w:tcW w:w="850" w:type="dxa"/>
          </w:tcPr>
          <w:p>
            <w:pPr>
              <w:jc w:val="center"/>
            </w:pPr>
            <w:r>
              <w:rPr>
                <w:sz w:val="18"/>
                <w:szCs w:val="18"/>
              </w:rPr>
              <w:t xml:space="preserve">0,4725</w:t>
            </w:r>
          </w:p>
        </w:tc>
        <w:tc>
          <w:tcPr>
            <w:tcW w:w="750" w:type="dxa"/>
          </w:tcPr>
          <w:p>
            <w:pPr>
              <w:jc w:val="center"/>
            </w:pPr>
            <w:r>
              <w:rPr>
                <w:sz w:val="18"/>
                <w:szCs w:val="18"/>
              </w:rPr>
              <w:t xml:space="preserve">0,1152</w:t>
            </w:r>
          </w:p>
        </w:tc>
      </w:tr>
      <w:tr>
        <w:tc>
          <w:tcPr>
            <w:tcW w:w="2500" w:type="dxa"/>
          </w:tcPr>
          <w:p>
            <w:pPr>
              <w:jc w:val="center"/>
            </w:pPr>
            <w:r>
              <w:rPr>
                <w:sz w:val="18"/>
                <w:szCs w:val="18"/>
              </w:rPr>
              <w:t xml:space="preserve">Bio_ClinicalBERT (văn bản)</w:t>
            </w:r>
          </w:p>
        </w:tc>
        <w:tc>
          <w:tcPr>
            <w:tcW w:w="1150" w:type="dxa"/>
          </w:tcPr>
          <w:p>
            <w:pPr>
              <w:jc w:val="center"/>
            </w:pPr>
            <w:r>
              <w:rPr>
                <w:sz w:val="18"/>
                <w:szCs w:val="18"/>
              </w:rPr>
              <w:t xml:space="preserve">0,9735</w:t>
            </w:r>
          </w:p>
        </w:tc>
        <w:tc>
          <w:tcPr>
            <w:tcW w:w="1150" w:type="dxa"/>
          </w:tcPr>
          <w:p>
            <w:pPr>
              <w:jc w:val="center"/>
            </w:pPr>
            <w:r>
              <w:rPr>
                <w:sz w:val="18"/>
                <w:szCs w:val="18"/>
              </w:rPr>
              <w:t xml:space="preserve">0,9314</w:t>
            </w:r>
          </w:p>
        </w:tc>
        <w:tc>
          <w:tcPr>
            <w:tcW w:w="1000" w:type="dxa"/>
          </w:tcPr>
          <w:p>
            <w:pPr>
              <w:jc w:val="center"/>
            </w:pPr>
            <w:r>
              <w:rPr>
                <w:sz w:val="18"/>
                <w:szCs w:val="18"/>
              </w:rPr>
              <w:t xml:space="preserve">0,8421</w:t>
            </w:r>
          </w:p>
        </w:tc>
        <w:tc>
          <w:tcPr>
            <w:tcW w:w="1000" w:type="dxa"/>
          </w:tcPr>
          <w:p>
            <w:pPr>
              <w:jc w:val="center"/>
            </w:pPr>
            <w:r>
              <w:rPr>
                <w:sz w:val="18"/>
                <w:szCs w:val="18"/>
              </w:rPr>
              <w:t xml:space="preserve">0,8543</w:t>
            </w:r>
          </w:p>
        </w:tc>
        <w:tc>
          <w:tcPr>
            <w:tcW w:w="850" w:type="dxa"/>
          </w:tcPr>
          <w:p>
            <w:pPr>
              <w:jc w:val="center"/>
            </w:pPr>
            <w:r>
              <w:rPr>
                <w:sz w:val="18"/>
                <w:szCs w:val="18"/>
              </w:rPr>
              <w:t xml:space="preserve">0,2329</w:t>
            </w:r>
          </w:p>
        </w:tc>
        <w:tc>
          <w:tcPr>
            <w:tcW w:w="750" w:type="dxa"/>
          </w:tcPr>
          <w:p>
            <w:pPr>
              <w:jc w:val="center"/>
            </w:pPr>
            <w:r>
              <w:rPr>
                <w:sz w:val="18"/>
                <w:szCs w:val="18"/>
              </w:rPr>
              <w:t xml:space="preserve">0,0373</w:t>
            </w:r>
          </w:p>
        </w:tc>
      </w:tr>
    </w:tbl>
    <w:p>
      <w:pPr>
        <w:pStyle w:val="Normal"/>
      </w:pPr>
      <w:r>
        <w:rPr>
          <w:sz w:val="22"/>
          <w:szCs w:val="22"/>
        </w:rPr>
        <w:t xml:space="preserve">Bio_ClinicalBERT đạt AUROC macro 0,9735 và accuracy 0,8543. Với nhánh dữ liệu bảng, CatBoost tốt hơn FT-Transformer. Các chỉ số calibration cần được đọc thận trọng: ECE của BERT là 0,0373, CatBoost là 0,0663 và FT-Transformer là 0,1152.</w:t>
      </w:r>
    </w:p>
    <w:p>
      <w:pPr>
        <w:pStyle w:val="Heading1"/>
      </w:pPr>
      <w:r>
        <w:rPr>
          <w:b/>
          <w:sz w:val="28"/>
          <w:szCs w:val="28"/>
        </w:rPr>
        <w:t xml:space="preserve">Dữ liệu và strict split</w:t>
      </w:r>
    </w:p>
    <w:p>
      <w:pPr>
        <w:pStyle w:val="Normal"/>
      </w:pPr>
      <w:r>
        <w:rPr>
          <w:sz w:val="22"/>
          <w:szCs w:val="22"/>
        </w:rPr>
        <w:t xml:space="preserve">Nguồn CSV gồm cohort tổng hợp Synthea và MTSamples. Converter mới loại ghi chú trùng giữa nhãn, không quay vòng tái dùng ghi chú, loại transcription/assessment khỏi đầu vào, che tên chẩn đoán đích và lưu source_patient_group/source_note_group để truy vết. Tập raw có 2.000 bản ghi, cân bằng 500 bản ghi mỗi nhãn.</w:t>
      </w:r>
    </w:p>
    <w:tbl>
      <w:tblPr>
        <w:tblW w:w="0" w:type="auto"/>
        <w:tblBorders>
          <w:top w:val="single" w:sz="4"/>
          <w:left w:val="single" w:sz="4"/>
          <w:bottom w:val="single" w:sz="4"/>
          <w:right w:val="single" w:sz="4"/>
          <w:insideH w:val="single" w:sz="4"/>
          <w:insideV w:val="single" w:sz="4"/>
        </w:tblBorders>
      </w:tblPr>
      <w:tblGrid>
        <w:gridCol w:w="1700"/>
        <w:gridCol w:w="950"/>
        <w:gridCol w:w="1000"/>
        <w:gridCol w:w="900"/>
        <w:gridCol w:w="1600"/>
        <w:gridCol w:w="1250"/>
      </w:tblGrid>
      <w:tr>
        <w:tc>
          <w:tcPr>
            <w:tcW w:w="1700" w:type="dxa"/>
            <w:shd w:val="clear" w:fill="D9EAF7"/>
          </w:tcPr>
          <w:p>
            <w:pPr>
              <w:jc w:val="center"/>
            </w:pPr>
            <w:r>
              <w:rPr>
                <w:b/>
                <w:sz w:val="18"/>
                <w:szCs w:val="18"/>
              </w:rPr>
              <w:t xml:space="preserve">Tập</w:t>
            </w:r>
          </w:p>
        </w:tc>
        <w:tc>
          <w:tcPr>
            <w:tcW w:w="950" w:type="dxa"/>
            <w:shd w:val="clear" w:fill="D9EAF7"/>
          </w:tcPr>
          <w:p>
            <w:pPr>
              <w:jc w:val="center"/>
            </w:pPr>
            <w:r>
              <w:rPr>
                <w:b/>
                <w:sz w:val="18"/>
                <w:szCs w:val="18"/>
              </w:rPr>
              <w:t xml:space="preserve">Số mẫu</w:t>
            </w:r>
          </w:p>
        </w:tc>
        <w:tc>
          <w:tcPr>
            <w:tcW w:w="1000" w:type="dxa"/>
            <w:shd w:val="clear" w:fill="D9EAF7"/>
          </w:tcPr>
          <w:p>
            <w:pPr>
              <w:jc w:val="center"/>
            </w:pPr>
            <w:r>
              <w:rPr>
                <w:b/>
                <w:sz w:val="18"/>
                <w:szCs w:val="18"/>
              </w:rPr>
              <w:t xml:space="preserve">ASTHMA</w:t>
            </w:r>
          </w:p>
        </w:tc>
        <w:tc>
          <w:tcPr>
            <w:tcW w:w="900" w:type="dxa"/>
            <w:shd w:val="clear" w:fill="D9EAF7"/>
          </w:tcPr>
          <w:p>
            <w:pPr>
              <w:jc w:val="center"/>
            </w:pPr>
            <w:r>
              <w:rPr>
                <w:b/>
                <w:sz w:val="18"/>
                <w:szCs w:val="18"/>
              </w:rPr>
              <w:t xml:space="preserve">COPD</w:t>
            </w:r>
          </w:p>
        </w:tc>
        <w:tc>
          <w:tcPr>
            <w:tcW w:w="1600" w:type="dxa"/>
            <w:shd w:val="clear" w:fill="D9EAF7"/>
          </w:tcPr>
          <w:p>
            <w:pPr>
              <w:jc w:val="center"/>
            </w:pPr>
            <w:r>
              <w:rPr>
                <w:b/>
                <w:sz w:val="18"/>
                <w:szCs w:val="18"/>
              </w:rPr>
              <w:t xml:space="preserve">HEART_FAILURE</w:t>
            </w:r>
          </w:p>
        </w:tc>
        <w:tc>
          <w:tcPr>
            <w:tcW w:w="1250" w:type="dxa"/>
            <w:shd w:val="clear" w:fill="D9EAF7"/>
          </w:tcPr>
          <w:p>
            <w:pPr>
              <w:jc w:val="center"/>
            </w:pPr>
            <w:r>
              <w:rPr>
                <w:b/>
                <w:sz w:val="18"/>
                <w:szCs w:val="18"/>
              </w:rPr>
              <w:t xml:space="preserve">PNEUMONIA</w:t>
            </w:r>
          </w:p>
        </w:tc>
      </w:tr>
      <w:tr>
        <w:tc>
          <w:tcPr>
            <w:tcW w:w="1700" w:type="dxa"/>
          </w:tcPr>
          <w:p>
            <w:pPr>
              <w:jc w:val="center"/>
            </w:pPr>
            <w:r>
              <w:rPr>
                <w:sz w:val="18"/>
                <w:szCs w:val="18"/>
              </w:rPr>
              <w:t xml:space="preserve">Huấn luyện</w:t>
            </w:r>
          </w:p>
        </w:tc>
        <w:tc>
          <w:tcPr>
            <w:tcW w:w="950" w:type="dxa"/>
          </w:tcPr>
          <w:p>
            <w:pPr>
              <w:jc w:val="center"/>
            </w:pPr>
            <w:r>
              <w:rPr>
                <w:sz w:val="18"/>
                <w:szCs w:val="18"/>
              </w:rPr>
              <w:t xml:space="preserve">1.425</w:t>
            </w:r>
          </w:p>
        </w:tc>
        <w:tc>
          <w:tcPr>
            <w:tcW w:w="1000" w:type="dxa"/>
          </w:tcPr>
          <w:p>
            <w:pPr>
              <w:jc w:val="center"/>
            </w:pPr>
            <w:r>
              <w:rPr>
                <w:sz w:val="18"/>
                <w:szCs w:val="18"/>
              </w:rPr>
              <w:t xml:space="preserve">358</w:t>
            </w:r>
          </w:p>
        </w:tc>
        <w:tc>
          <w:tcPr>
            <w:tcW w:w="900" w:type="dxa"/>
          </w:tcPr>
          <w:p>
            <w:pPr>
              <w:jc w:val="center"/>
            </w:pPr>
            <w:r>
              <w:rPr>
                <w:sz w:val="18"/>
                <w:szCs w:val="18"/>
              </w:rPr>
              <w:t xml:space="preserve">358</w:t>
            </w:r>
          </w:p>
        </w:tc>
        <w:tc>
          <w:tcPr>
            <w:tcW w:w="1600" w:type="dxa"/>
          </w:tcPr>
          <w:p>
            <w:pPr>
              <w:jc w:val="center"/>
            </w:pPr>
            <w:r>
              <w:rPr>
                <w:sz w:val="18"/>
                <w:szCs w:val="18"/>
              </w:rPr>
              <w:t xml:space="preserve">340</w:t>
            </w:r>
          </w:p>
        </w:tc>
        <w:tc>
          <w:tcPr>
            <w:tcW w:w="1250" w:type="dxa"/>
          </w:tcPr>
          <w:p>
            <w:pPr>
              <w:jc w:val="center"/>
            </w:pPr>
            <w:r>
              <w:rPr>
                <w:sz w:val="18"/>
                <w:szCs w:val="18"/>
              </w:rPr>
              <w:t xml:space="preserve">369</w:t>
            </w:r>
          </w:p>
        </w:tc>
      </w:tr>
      <w:tr>
        <w:tc>
          <w:tcPr>
            <w:tcW w:w="1700" w:type="dxa"/>
          </w:tcPr>
          <w:p>
            <w:pPr>
              <w:jc w:val="center"/>
            </w:pPr>
            <w:r>
              <w:rPr>
                <w:sz w:val="18"/>
                <w:szCs w:val="18"/>
              </w:rPr>
              <w:t xml:space="preserve">Xác thực</w:t>
            </w:r>
          </w:p>
        </w:tc>
        <w:tc>
          <w:tcPr>
            <w:tcW w:w="950" w:type="dxa"/>
          </w:tcPr>
          <w:p>
            <w:pPr>
              <w:jc w:val="center"/>
            </w:pPr>
            <w:r>
              <w:rPr>
                <w:sz w:val="18"/>
                <w:szCs w:val="18"/>
              </w:rPr>
              <w:t xml:space="preserve">273</w:t>
            </w:r>
          </w:p>
        </w:tc>
        <w:tc>
          <w:tcPr>
            <w:tcW w:w="1000" w:type="dxa"/>
          </w:tcPr>
          <w:p>
            <w:pPr>
              <w:jc w:val="center"/>
            </w:pPr>
            <w:r>
              <w:rPr>
                <w:sz w:val="18"/>
                <w:szCs w:val="18"/>
              </w:rPr>
              <w:t xml:space="preserve">71</w:t>
            </w:r>
          </w:p>
        </w:tc>
        <w:tc>
          <w:tcPr>
            <w:tcW w:w="900" w:type="dxa"/>
          </w:tcPr>
          <w:p>
            <w:pPr>
              <w:jc w:val="center"/>
            </w:pPr>
            <w:r>
              <w:rPr>
                <w:sz w:val="18"/>
                <w:szCs w:val="18"/>
              </w:rPr>
              <w:t xml:space="preserve">71</w:t>
            </w:r>
          </w:p>
        </w:tc>
        <w:tc>
          <w:tcPr>
            <w:tcW w:w="1600" w:type="dxa"/>
          </w:tcPr>
          <w:p>
            <w:pPr>
              <w:jc w:val="center"/>
            </w:pPr>
            <w:r>
              <w:rPr>
                <w:sz w:val="18"/>
                <w:szCs w:val="18"/>
              </w:rPr>
              <w:t xml:space="preserve">54</w:t>
            </w:r>
          </w:p>
        </w:tc>
        <w:tc>
          <w:tcPr>
            <w:tcW w:w="1250" w:type="dxa"/>
          </w:tcPr>
          <w:p>
            <w:pPr>
              <w:jc w:val="center"/>
            </w:pPr>
            <w:r>
              <w:rPr>
                <w:sz w:val="18"/>
                <w:szCs w:val="18"/>
              </w:rPr>
              <w:t xml:space="preserve">77</w:t>
            </w:r>
          </w:p>
        </w:tc>
      </w:tr>
      <w:tr>
        <w:tc>
          <w:tcPr>
            <w:tcW w:w="1700" w:type="dxa"/>
          </w:tcPr>
          <w:p>
            <w:pPr>
              <w:jc w:val="center"/>
            </w:pPr>
            <w:r>
              <w:rPr>
                <w:sz w:val="18"/>
                <w:szCs w:val="18"/>
              </w:rPr>
              <w:t xml:space="preserve">Kiểm thử</w:t>
            </w:r>
          </w:p>
        </w:tc>
        <w:tc>
          <w:tcPr>
            <w:tcW w:w="950" w:type="dxa"/>
          </w:tcPr>
          <w:p>
            <w:pPr>
              <w:jc w:val="center"/>
            </w:pPr>
            <w:r>
              <w:rPr>
                <w:sz w:val="18"/>
                <w:szCs w:val="18"/>
              </w:rPr>
              <w:t xml:space="preserve">302</w:t>
            </w:r>
          </w:p>
        </w:tc>
        <w:tc>
          <w:tcPr>
            <w:tcW w:w="1000" w:type="dxa"/>
          </w:tcPr>
          <w:p>
            <w:pPr>
              <w:jc w:val="center"/>
            </w:pPr>
            <w:r>
              <w:rPr>
                <w:sz w:val="18"/>
                <w:szCs w:val="18"/>
              </w:rPr>
              <w:t xml:space="preserve">71</w:t>
            </w:r>
          </w:p>
        </w:tc>
        <w:tc>
          <w:tcPr>
            <w:tcW w:w="900" w:type="dxa"/>
          </w:tcPr>
          <w:p>
            <w:pPr>
              <w:jc w:val="center"/>
            </w:pPr>
            <w:r>
              <w:rPr>
                <w:sz w:val="18"/>
                <w:szCs w:val="18"/>
              </w:rPr>
              <w:t xml:space="preserve">71</w:t>
            </w:r>
          </w:p>
        </w:tc>
        <w:tc>
          <w:tcPr>
            <w:tcW w:w="1600" w:type="dxa"/>
          </w:tcPr>
          <w:p>
            <w:pPr>
              <w:jc w:val="center"/>
            </w:pPr>
            <w:r>
              <w:rPr>
                <w:sz w:val="18"/>
                <w:szCs w:val="18"/>
              </w:rPr>
              <w:t xml:space="preserve">106</w:t>
            </w:r>
          </w:p>
        </w:tc>
        <w:tc>
          <w:tcPr>
            <w:tcW w:w="1250" w:type="dxa"/>
          </w:tcPr>
          <w:p>
            <w:pPr>
              <w:jc w:val="center"/>
            </w:pPr>
            <w:r>
              <w:rPr>
                <w:sz w:val="18"/>
                <w:szCs w:val="18"/>
              </w:rPr>
              <w:t xml:space="preserve">54</w:t>
            </w:r>
          </w:p>
        </w:tc>
      </w:tr>
    </w:tbl>
    <w:p>
      <w:pPr>
        <w:pStyle w:val="Normal"/>
      </w:pPr>
      <w:r>
        <w:rPr>
          <w:sz w:val="22"/>
          <w:szCs w:val="22"/>
        </w:rPr>
        <w:t xml:space="preserve">Split sử dụng connected components trên source_patient_group và source_note_group. Audit xác nhận giao nhau train/validation/test bằng 0 theo patient_id, source_patient_group và source_note_group; tất cả split có đủ bốn lớp.</w:t>
      </w:r>
    </w:p>
    <w:p>
      <w:pPr>
        <w:pStyle w:val="Heading1"/>
      </w:pPr>
      <w:r>
        <w:rPr>
          <w:b/>
          <w:sz w:val="28"/>
          <w:szCs w:val="28"/>
        </w:rPr>
        <w:t xml:space="preserve">Diễn giải và kiểm tra độ tin cậy</w:t>
      </w:r>
    </w:p>
    <w:p>
      <w:pPr>
        <w:pStyle w:val="Normal"/>
      </w:pPr>
      <w:r>
        <w:rPr>
          <w:sz w:val="22"/>
          <w:szCs w:val="22"/>
        </w:rPr>
        <w:t xml:space="preserve">Một sanity check với cây quyết định nông (độ sâu 4) đạt accuracy 0,7285 trên strict test, thấp hơn rõ rệt so với kết quả cũ xấp xỉ 0,955. Sự sụt giảm này phù hợp với nhận định rằng pipeline cũ hưởng lợi từ leakage/lặp nguồn, không phải mô hình mới kém đi.</w:t>
      </w:r>
    </w:p>
    <w:p>
      <w:pPr>
        <w:pStyle w:val="Normal"/>
      </w:pPr>
      <w:r>
        <w:rPr>
          <w:sz w:val="22"/>
          <w:szCs w:val="22"/>
        </w:rPr>
        <w:t xml:space="preserve">Khoảng chênh validation–test ở FT-Transformer và BERT cho thấy mô hình vẫn nhạy với phân bố nhóm nguồn. Do đó kết quả hiện tại là baseline nội bộ đã được làm sạch, không phải hiệu năng lâm sàng ngoài thực tế.</w:t>
      </w:r>
    </w:p>
    <w:p>
      <w:pPr>
        <w:pStyle w:val="Heading1"/>
      </w:pPr>
      <w:r>
        <w:rPr>
          <w:b/>
          <w:sz w:val="28"/>
          <w:szCs w:val="28"/>
        </w:rPr>
        <w:t xml:space="preserve">Giới hạn và khuyến nghị</w:t>
      </w:r>
    </w:p>
    <w:p>
      <w:pPr>
        <w:pStyle w:val="Normal"/>
      </w:pPr>
      <w:r>
        <w:rPr>
          <w:sz w:val="22"/>
          <w:szCs w:val="22"/>
        </w:rPr>
        <w:t xml:space="preserve">Dữ liệu tổng hợp và kho công khai không thay thế cohort bệnh viện thực hoặc phản ánh đầy đủ quy trình ghi chép tại Việt Nam. Strict split giảm mạnh leakage theo nguồn nhưng không loại bỏ hoàn toàn domain/style bias. Chưa có bootstrap confidence interval, đánh giá công bằng, hiệu chỉnh ngưỡng theo chi phí lâm sàng hay prospective evaluation.</w:t>
      </w:r>
    </w:p>
    <w:p>
      <w:pPr>
        <w:pStyle w:val="Normal"/>
      </w:pPr>
      <w:r>
        <w:rPr>
          <w:sz w:val="22"/>
          <w:szCs w:val="22"/>
        </w:rPr>
        <w:t xml:space="preserve">Không sử dụng mô hình để ra quyết định điều trị. Bước tiếp theo: fusion bảng–văn bản với cùng strict split; bootstrap CI và phân tích lỗi theo lớp; leave-source-out/temporal split; sau đó ngoại kiểm dữ liệu thực đã được phê duyệt.</w:t>
      </w:r>
    </w:p>
    <w:p>
      <w:pPr>
        <w:pStyle w:val="Heading1"/>
      </w:pPr>
      <w:r>
        <w:rPr>
          <w:b/>
          <w:sz w:val="28"/>
          <w:szCs w:val="28"/>
        </w:rPr>
        <w:t xml:space="preserve">Artefact tái lập</w:t>
      </w:r>
    </w:p>
    <w:p>
      <w:pPr>
        <w:pStyle w:val="Normal"/>
      </w:pPr>
      <w:r>
        <w:rPr>
          <w:sz w:val="22"/>
          <w:szCs w:val="22"/>
        </w:rPr>
        <w:t xml:space="preserve">Kết quả: data/rebuilt_strict_results_2026-10-28.json | Audit: data/rebuilt_strict_split_audit.json | ROC/PR: data/rebuilt_strict_curves_2026-10-28.png | Confusion matrix: data/rebuilt_strict_confusion_2026-10-28.png</w:t>
      </w:r>
    </w:p>
    <w:p>
      <w:pPr>
        <w:pStyle w:val="Normal"/>
      </w:pPr>
      <w:r>
        <w:rPr>
          <w:sz w:val="22"/>
          <w:szCs w:val="22"/>
        </w:rPr>
        <w:t xml:space="preserve">Mã tái lập: scripts/convert_sources_to_raw.py; src/data_pipeline/dataset_loader.py; scripts/audit_data_leakage.py; scripts/run_baselines.py. Hướng dẫn lệnh được cập nhật trong README.md.</w:t>
      </w:r>
    </w:p>
    <w:sectPr>
      <w:pgSz w:w="11906" w:h="16838"/>
      <w:pgMar w:top="1134" w:right="1134" w:bottom="1134" w:left="1134"/>
      <w:footerReference xmlns:r="http://schemas.openxmlformats.org/officeDocument/2006/relationships" w:type="default" r:id="rId1"/>
    </w:sectPr>
  </w:body>
</w:document>
</file>

<file path=word/footer1.xml><?xml version="1.0" encoding="utf-8"?>
<w:ftr xmlns:w="http://schemas.openxmlformats.org/wordprocessingml/2006/main">
  <w:p>
    <w:pPr>
      <w:jc w:val="center"/>
    </w:pPr>
    <w:r>
      <w:rPr>
        <w:color w:val="777777"/>
        <w:sz w:val="18"/>
      </w:rPr>
      <w:t>M-CDSS — Báo cáo strict split, 28/10/2026</w:t>
    </w:r>
  </w:p>
</w:ftr>
</file>

<file path=word/styles.xml><?xml version="1.0" encoding="utf-8"?>
<w:styles xmlns:w="http://schemas.openxmlformats.org/wordprocessingml/2006/main">
  <w:docDefaults>
    <w:rPrDefault>
      <w:rPr>
        <w:rFonts w:ascii="Aptos" w:hAnsi="Aptos" w:cs="Aptos"/>
      </w:rPr>
    </w:rPrDefault>
  </w:docDefaults>
  <w:style w:type="paragraph" w:default="1" w:styleId="Normal">
    <w:name w:val="Normal"/>
    <w:qFormat/>
  </w:style>
  <w:style w:type="paragraph" w:styleId="Heading1">
    <w:name w:val="heading 1"/>
    <w:basedOn w:val="Normal"/>
    <w:next w:val="Normal"/>
    <w:qFormat/>
    <w:pPr>
      <w:spacing w:before="360" w:after="160"/>
      <w:keepNext/>
    </w:pPr>
    <w:rPr>
      <w:b/>
      <w:color w:val="1F4E79"/>
      <w:sz w:val="28"/>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s>
</file>