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b w:val="1"/>
          <w:color w:val="2e75b5"/>
          <w:sz w:val="40"/>
          <w:szCs w:val="40"/>
        </w:rPr>
      </w:pPr>
      <w:bookmarkStart w:colFirst="0" w:colLast="0" w:name="_23ckvv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40"/>
          <w:szCs w:val="40"/>
          <w:rtl w:val="0"/>
        </w:rPr>
        <w:t xml:space="preserve">2. Mô hình hóa chức năng nghiệp vụ của hệ thống tổ chức</w:t>
      </w:r>
    </w:p>
    <w:p w:rsidR="00000000" w:rsidDel="00000000" w:rsidP="00000000" w:rsidRDefault="00000000" w:rsidRPr="00000000" w14:paraId="00000002">
      <w:pPr>
        <w:spacing w:line="259" w:lineRule="auto"/>
        <w:ind w:firstLine="720"/>
        <w:rPr>
          <w:rFonts w:ascii="Times New Roman" w:cs="Times New Roman" w:eastAsia="Times New Roman" w:hAnsi="Times New Roman"/>
          <w:color w:val="5b9bd5"/>
          <w:sz w:val="32"/>
          <w:szCs w:val="32"/>
        </w:rPr>
      </w:pPr>
      <w:bookmarkStart w:colFirst="0" w:colLast="0" w:name="_41mghm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b9bd5"/>
          <w:sz w:val="32"/>
          <w:szCs w:val="32"/>
          <w:rtl w:val="0"/>
        </w:rPr>
        <w:t xml:space="preserve">2.4 Mô tả các trường hợp nghiệp vụ bằng bảng mô tả (theo template)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color w:val="2e75b5"/>
          <w:sz w:val="40"/>
          <w:szCs w:val="40"/>
        </w:rPr>
      </w:pPr>
      <w:bookmarkStart w:colFirst="0" w:colLast="0" w:name="_4upv88903ja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2.4.4 Mượn sách</w:t>
      </w:r>
    </w:p>
    <w:p w:rsidR="00000000" w:rsidDel="00000000" w:rsidP="00000000" w:rsidRDefault="00000000" w:rsidRPr="00000000" w14:paraId="00000005">
      <w:pPr>
        <w:keepNext w:val="1"/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Mô tả cho use case  mươn sách</w:t>
      </w:r>
    </w:p>
    <w:tbl>
      <w:tblPr>
        <w:tblStyle w:val="Table1"/>
        <w:tblW w:w="9360.0" w:type="dxa"/>
        <w:jc w:val="left"/>
        <w:tblInd w:w="2.8421709430404007E-14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Mượn sách về nhà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160" w:line="259" w:lineRule="auto"/>
              <w:ind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đọc giả trả  mượn sách về nhà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Thủ thư nhận thẻ thư viện từ độc giả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Thủ thư kiểm tra thông tin thẻ thư viện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Thủ thư kiểm tra thông tin độc giả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 Thủ thư kiểm tra tình trạng sách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 Thủ thư cho độc giả mượn sách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A1: Nếu đọc giả không cấp thẻ, thì bỏ qua 2,3,4 5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A2: Nếu thẻ không hợp lệ, thì bỏ qua 3,4,5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A3. Nếu đọc giả không còn đủ điều kiện mượn sách thì bỏ qua 4,5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A4. Nếu sách không thể cho mượn thì bỏ qua 5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.8421709430404007E-14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Mượn sách đọc tại chổ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160" w:line="259" w:lineRule="auto"/>
              <w:ind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đọc giả trả mượn sách đọc tại chổ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lựa chọn sách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chọn địa điểm đọc sách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đọc sách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trả sách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A2. Nếu đọc giả  mang sách ra khỏi thư viện thì  cần thực hiện use case Mượn sách về nhà ,  bỏ 3, 4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2.5.4 Mượn sách (Ac)tivity Diagram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Mượn sách về nhà</w:t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-785812</wp:posOffset>
            </wp:positionH>
            <wp:positionV relativeFrom="paragraph">
              <wp:posOffset>304800</wp:posOffset>
            </wp:positionV>
            <wp:extent cx="7581900" cy="285273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Mượn sách đọc tại chổ</w:t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3.4  Mượn sách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Yêu cầu 4.4 Bảng mô tả</w:t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Mẫu UC main function: Mượn sách về nhà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Thủ thư quét thẻ thư viện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Hệ thống hiện thông tin thẻ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thư chọn xem thông tin đọc giả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hiện thông tin đọc giả và tình trạng mượn sách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thư nhập tên sách đọc giả định mượn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danh sách tương ứng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thư quét mã ISBN sách đọc giả dự định mượn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gửi thông tin liên quan đến sách, và tình trạng sách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Thử thư xác nhận kết thúc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Hệ thống cập nhật dữ liệu sách mượn và kết thúc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Mẫu UC main function: Mượn sách đọc tại chổ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thư quét thẻ thư viện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thư nhập tên sách đọc giả định mượn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danh sách tương ứng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Thủ thư quét mã ISBN sách đọc giả dự định mượn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gửi thông tin liên quan đến sách, và tình trạng sách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Thủ thư kết thúc chương trình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cập nhật dữ liệu sách mượn và kết thúc</w:t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Yeu cau 4.5 : Sequence Diagram</w:t>
      </w:r>
    </w:p>
    <w:p w:rsidR="00000000" w:rsidDel="00000000" w:rsidP="00000000" w:rsidRDefault="00000000" w:rsidRPr="00000000" w14:paraId="00000071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Reader and Book all are valid</w:t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6376988" cy="354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-59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Reader or Book is invalid</w:t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123825</wp:posOffset>
            </wp:positionV>
            <wp:extent cx="5643563" cy="300037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00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