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color w:val="2e75b5"/>
          <w:sz w:val="40"/>
          <w:szCs w:val="40"/>
        </w:rPr>
      </w:pPr>
      <w:bookmarkStart w:colFirst="0" w:colLast="0" w:name="_23ckvvd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40"/>
          <w:szCs w:val="40"/>
          <w:rtl w:val="0"/>
        </w:rPr>
        <w:t xml:space="preserve">2. Mô hình hóa chức năng nghiệp vụ của hệ thống tổ chức</w:t>
      </w:r>
    </w:p>
    <w:p w:rsidR="00000000" w:rsidDel="00000000" w:rsidP="00000000" w:rsidRDefault="00000000" w:rsidRPr="00000000" w14:paraId="00000002">
      <w:pPr>
        <w:spacing w:line="259" w:lineRule="auto"/>
        <w:ind w:left="720" w:firstLine="720"/>
        <w:rPr>
          <w:rFonts w:ascii="Times New Roman" w:cs="Times New Roman" w:eastAsia="Times New Roman" w:hAnsi="Times New Roman"/>
          <w:color w:val="5b9bd5"/>
          <w:sz w:val="32"/>
          <w:szCs w:val="32"/>
        </w:rPr>
      </w:pPr>
      <w:bookmarkStart w:colFirst="0" w:colLast="0" w:name="_41mghml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5b9bd5"/>
          <w:sz w:val="32"/>
          <w:szCs w:val="32"/>
          <w:rtl w:val="0"/>
        </w:rPr>
        <w:t xml:space="preserve">2.4 Mô tả các trường hợp nghiệp vụ bằng bảng mô tả (theo template)</w:t>
      </w:r>
    </w:p>
    <w:p w:rsidR="00000000" w:rsidDel="00000000" w:rsidP="00000000" w:rsidRDefault="00000000" w:rsidRPr="00000000" w14:paraId="00000003">
      <w:pPr>
        <w:spacing w:line="259" w:lineRule="auto"/>
        <w:ind w:left="720" w:firstLine="0"/>
        <w:rPr>
          <w:rFonts w:ascii="Times New Roman" w:cs="Times New Roman" w:eastAsia="Times New Roman" w:hAnsi="Times New Roman"/>
          <w:b w:val="1"/>
          <w:color w:val="2e75b5"/>
          <w:sz w:val="40"/>
          <w:szCs w:val="40"/>
        </w:rPr>
      </w:pPr>
      <w:bookmarkStart w:colFirst="0" w:colLast="0" w:name="_4upv88903ja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2.4.4 Mượn sách</w:t>
      </w:r>
    </w:p>
    <w:p w:rsidR="00000000" w:rsidDel="00000000" w:rsidP="00000000" w:rsidRDefault="00000000" w:rsidRPr="00000000" w14:paraId="00000005">
      <w:pPr>
        <w:keepNext w:val="1"/>
        <w:spacing w:after="200" w:line="240" w:lineRule="auto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Mô tả cho use case  mươn sách</w:t>
      </w:r>
    </w:p>
    <w:tbl>
      <w:tblPr>
        <w:tblStyle w:val="Table1"/>
        <w:tblW w:w="9360.0" w:type="dxa"/>
        <w:jc w:val="left"/>
        <w:tblInd w:w="2.8421709430404007E-14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Mượn sách về nhà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09">
            <w:pPr>
              <w:numPr>
                <w:ilvl w:val="0"/>
                <w:numId w:val="4"/>
              </w:numPr>
              <w:spacing w:after="160" w:line="259" w:lineRule="auto"/>
              <w:ind w:firstLine="360"/>
              <w:rPr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Use case xảy ra khi đọc giả trả  mượn sách  về nhà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 Đã có thẻ thư viện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cơ bản</w:t>
            </w:r>
          </w:p>
        </w:tc>
        <w:tc>
          <w:tcPr/>
          <w:p w:rsidR="00000000" w:rsidDel="00000000" w:rsidP="00000000" w:rsidRDefault="00000000" w:rsidRPr="00000000" w14:paraId="0000000D">
            <w:pPr>
              <w:numPr>
                <w:ilvl w:val="0"/>
                <w:numId w:val="5"/>
              </w:numPr>
              <w:spacing w:line="259" w:lineRule="auto"/>
              <w:ind w:firstLine="34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Thủ thư kiểm tra thẻ thư viện 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5"/>
              </w:numPr>
              <w:spacing w:line="259" w:lineRule="auto"/>
              <w:ind w:firstLine="34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Hệ thống tự động truy xuất thông tin đọc giả và tình trạng thẻ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5"/>
              </w:numPr>
              <w:spacing w:line="259" w:lineRule="auto"/>
              <w:ind w:firstLine="34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Thủ thư  tra mã ISBN, xem sách có thể cho mượn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5"/>
              </w:numPr>
              <w:spacing w:line="259" w:lineRule="auto"/>
              <w:ind w:firstLine="34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Thủ thư cho đọc giả mượn sách</w:t>
            </w:r>
          </w:p>
          <w:p w:rsidR="00000000" w:rsidDel="00000000" w:rsidP="00000000" w:rsidRDefault="00000000" w:rsidRPr="00000000" w14:paraId="00000011">
            <w:pPr>
              <w:spacing w:after="160" w:line="259" w:lineRule="auto"/>
              <w:ind w:left="340" w:firstLine="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phụ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&lt;none&gt;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thay thế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A2: Nếu  thống xác nhận thẻ không hợp lệ thì không được mượn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A3: Nếu sách không thể cho mượn thì thủ thư không cho mượn sách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after="200" w:line="240" w:lineRule="auto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.8421709430404007E-14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/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Mượn sách đọc tại chổ</w:t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spacing w:after="160" w:line="259" w:lineRule="auto"/>
              <w:ind w:firstLine="360"/>
              <w:rPr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Use case xảy ra khi đọc giả trả  mượn sách   tại chổ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 Ở phòng lưu hành (cơ sở chính)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cơ bản</w:t>
            </w:r>
          </w:p>
        </w:tc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160" w:line="259" w:lineRule="auto"/>
              <w:ind w:left="72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Đọc giả lấy sách đọc tự nhiên, không cần làm thủ tục</w:t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phụ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&lt;none&gt;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thay thế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&lt;none&gt;</w:t>
            </w:r>
          </w:p>
        </w:tc>
      </w:tr>
    </w:tbl>
    <w:p w:rsidR="00000000" w:rsidDel="00000000" w:rsidP="00000000" w:rsidRDefault="00000000" w:rsidRPr="00000000" w14:paraId="00000028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spacing w:after="200" w:line="240" w:lineRule="auto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.8421709430404007E-14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Tên use case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Mượn sách đọc tại chổ</w:t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4"/>
              </w:numPr>
              <w:spacing w:after="160" w:line="259" w:lineRule="auto"/>
              <w:ind w:firstLine="360"/>
              <w:rPr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Use case xảy ra khi đọc giả trả  mượn sách  tại chổ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Tiền điều kiện</w:t>
            </w:r>
          </w:p>
        </w:tc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  Ở cơ sở Linh Trung - Thủ Đức</w:t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cơ bản</w:t>
            </w:r>
          </w:p>
        </w:tc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after="160" w:line="259" w:lineRule="auto"/>
              <w:ind w:left="144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Đọc giả lấy sách đọc tự nhiên nếu đọc tại chổ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phụ</w:t>
            </w:r>
          </w:p>
        </w:tc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Nếu đem sách ra ngoài không làm thủ tục sẽ bị xử phạt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a35"/>
                <w:sz w:val="24"/>
                <w:szCs w:val="24"/>
                <w:rtl w:val="0"/>
              </w:rPr>
              <w:t xml:space="preserve">Dòng thay thế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a35"/>
                <w:sz w:val="24"/>
                <w:szCs w:val="24"/>
                <w:rtl w:val="0"/>
              </w:rPr>
              <w:t xml:space="preserve">A1. Nếu mang qua phòng tự học thì làm thủ tục như mượn sách về nhà</w:t>
            </w:r>
          </w:p>
        </w:tc>
      </w:tr>
    </w:tbl>
    <w:p w:rsidR="00000000" w:rsidDel="00000000" w:rsidP="00000000" w:rsidRDefault="00000000" w:rsidRPr="00000000" w14:paraId="00000039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2.5.4 Mượn sách (Ac)tivity Diagram</w:t>
      </w:r>
    </w:p>
    <w:p w:rsidR="00000000" w:rsidDel="00000000" w:rsidP="00000000" w:rsidRDefault="00000000" w:rsidRPr="00000000" w14:paraId="0000003B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105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3.4  Mượn sách</w:t>
      </w:r>
    </w:p>
    <w:p w:rsidR="00000000" w:rsidDel="00000000" w:rsidP="00000000" w:rsidRDefault="00000000" w:rsidRPr="00000000" w14:paraId="0000003E">
      <w:pPr>
        <w:spacing w:after="160" w:line="259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