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  <w:t xml:space="preserve">Three_amigos</w: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hyperlink r:id="rId9" w:tooltip="https://habr.com/ru/company/tinkoff/blog/449424/" w:history="1">
        <w:r>
          <w:rPr>
            <w:rStyle w:val="618"/>
            <w:rFonts w:ascii="DejaVu Sans Light" w:hAnsi="DejaVu Sans Light" w:cs="DejaVu Sans Light" w:eastAsia="DejaVu Sans Light"/>
          </w:rPr>
          <w:t xml:space="preserve">https://habr.com/ru/company/tinkoff/blog/449424/</w:t>
        </w:r>
      </w:hyperlink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6565"/>
                <wp:effectExtent l="0" t="0" r="3175" b="0"/>
                <wp:docPr id="1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299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35.9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3 Амиго — это практика, которая дает всеобщее понимание того, что будет доставлено клиенту. Помогает доносить голос команды, а не переплетение разрозненных мнений.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Данный способ коммуникации внутри команды помогает: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прийти к общему соглашению относительно ожиданий до начала разработки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сформировать соглашение о том, как сделать </w:t>
      </w:r>
      <w:r>
        <w:rPr>
          <w:rFonts w:ascii="DejaVu Sans Light" w:hAnsi="DejaVu Sans Light" w:cs="DejaVu Sans Light" w:eastAsia="DejaVu Sans Light"/>
          <w:sz w:val="24"/>
          <w:szCs w:val="24"/>
          <w:u w:val="single"/>
          <w:lang w:eastAsia="ru-RU"/>
        </w:rPr>
        <w:t xml:space="preserve">правильную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вещь сразу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А также, способствует пониманию: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какую проблему мы решаем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какие есть варианты решения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что нам нужно сделать, чтобы задача была готова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Встреча трёх амиго — это способ совместного мышления, которое устраняет пробелы в понимании бизнес-спецификаций. Она помогает в разработке крутых пользовательских историй.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Цель заключается в том, чтобы делать работу в срок, но при этом планировать не настолько заранее, чтобы детали успевали устаревать.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2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" o:spid="_x0000_s1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Почему 3? Кем применяется?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Название практики не ограничивает нас тремя контекстами, а лишь создаёт минимальные рамки. Чтобы убедиться в том, что в проработке требований учли все технические нюансы, явные и неявные случаи, что спецификация отражает действительную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нужду клиента — требуется 3 различных мышления/контекста: бизнеса, разработчика, тестировщика. При этом встреча не ограничивается только этими людьми. В ней участвуют все, кто вовлечены в реализацию требования. Например, если в вашей задаче есть не только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web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но и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mobile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то нужен дополнительный контекст. То есть тот человек, который будет делать реализацию в мобильном приложении. В наших командах чаще всего во встрече участвуют 4 разработчика (1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ios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1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android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1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back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1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front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), тестировщик и бизнес-аналитик.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11576" cy="2468492"/>
                <wp:effectExtent l="0" t="0" r="0" b="8255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518472" cy="2473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76.5pt;height:194.4pt;" stroked="f">
                <v:path textboxrect="0,0,0,0"/>
                <v:imagedata r:id="rId11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Бизнес-аналитик или PO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Представитель бизнеса знает (почти всегда), что он хочет получить в итоге и какое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value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от этого получит клиент и бизнес. Важно рассказывать об этом команде.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  <w:t xml:space="preserve">Участвуя во встрече 3 Амиго, бизнес-аналитик делится информацией с участниками, чтобы у всех в команде было одинаковое понимание и ожидание от пользовательской истории. Также только он может ограничить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scope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приемочных критериев, по которым потом будет происходить приемка.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Разработчики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Разработчик знает, как реализовать требование от бизнеса, какие ест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ь для этого возможности. Как правило, он думает о деталях, которые ему нужно знать, чтобы приступить к реализации. Задавая вопросы, исходя из своего опыта и знания системы, разработчик помогает вскрывать различные нюансы еще на этапе обсуждения требований.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Тестировщик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Тестировщик, так же, как и другие члены команды, помогает обогащать требования различным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и тестовыми случаями. Исходя из своего опыта, он больше и чаще подвергает сомнению любые утверждения, которые озвучивает команда. Поэтому лучше находит крайние случаи, неявные сценарии, задается вопросом, что может пойти не так, чего следует остерегаться. 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Шаги применения практики для проработки AC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1. Формулируем требования как User Story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Я рекомендую применять прорабатывать требования, основываясь на пользовательских историях. И в качестве основы брать одну историю и на встрече 3 амиго прорабатывать только ее.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859000" cy="2773680"/>
                <wp:effectExtent l="0" t="0" r="0" b="7620"/>
                <wp:docPr id="4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14859000" cy="277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170.0pt;height:218.4pt;" stroked="f">
                <v:path textboxrect="0,0,0,0"/>
                <v:imagedata r:id="rId12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Здесь очень важный момент в том, чтобы требование от бизнеса действительно было сформулировано как пользовательская история. То есть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соддержала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в себе 3 части, а именно: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10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Я как &lt;роль&gt;, хочу &lt;действие&gt;, чтобы &lt;мотивация&gt;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Это на самом деле самый популярный шаблон для формирования пользовательских историй и называется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Connextra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Есть также и другие шаблоны, но я рекомендую использовать именно этот. А почему, сейчас объясню.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Традиционно есть 2 проблемы при формировании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При записи либо не указывают роль, оставляя действие и мотивацию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Либо же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указывют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роль и действие, а мотивацию выкидывают.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Это на самом деле влечет проблемы, и я постараюсь на простых примерах объяснить какие.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Зная &lt;роль&gt;, вы как члены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команды будете лучше понимать границы критериев приемки, которые вам нужно сформировать. Не до конца понимания заинтересованное лицо в этой пользовательской истории, вы можете сделать либо сверх нужного, либо наоборот недоделать какую-то функциональность. 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b/>
          <w:bCs/>
          <w:sz w:val="24"/>
          <w:szCs w:val="24"/>
          <w:lang w:eastAsia="ru-RU"/>
        </w:rPr>
        <w:t xml:space="preserve">Пример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: команда плохо понимала роль в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и при проработке задачи решила, что сделает 3 метода для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api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: на добавление, редактирование и удаление. А еще на фронте добавят кнопки, которая будет вызывать эти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методы. Когда они презентовали свое решение бизнесу — то получили фидбек, что на самом деле их клиент, это конкретный бизнес-аналитик, которому достаточно метода добавления. И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удалять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и редактировать он не будет. Да и вызвать этот метод он может через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postman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Команда не понимает мотивацию "роли" для кого они делают пользовательскую историю. Из-за непонимания плохо очерчиваются границы самой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И помимо этого, критерии приемки в итоге могут и не решать конечную клиентскую проблему, хотя будут соответствовать тому действию, что озвучено в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b/>
          <w:bCs/>
          <w:sz w:val="24"/>
          <w:szCs w:val="24"/>
          <w:lang w:eastAsia="ru-RU"/>
        </w:rPr>
        <w:t xml:space="preserve">Пример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: команда взяла в работу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где бизнес-аналитик не мог чётко сформулировать мотивацию. С одной стороны, она была в том, чтобы оставить клиента лояльным и сделать для него улучшение. С другой стороны — сокращение расходов для банка. В этом слу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чае способы реализации и критерии приемки были кардинально разными. Потому что в первом случае, команда фокусировалась на пользовательских критериях приемки. Во втором — команда обращала внимание на то, как сделать максимально простую и быструю реализацию.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Но формулирование в вышеописанном формате не является обязательным условием. Я знаю команды, которые проводят встречи в формате 3 Амиго и без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А в качестве основы используют ТЗ. В этом случае возникают свои подводные камни, но это был осознанный выбор команды.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Встреча 3 Амиго начинается с подготовки. В рамках подготовке к ней формулируются требования, так чтоб они были понятны всей команде. Эти требования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валидируются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на готовность к работе.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10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Валидация включает в себя оценку исто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рии по критериям INVEST. А также качество формулировки самой истории. Тут исключается любая неоднозначность, многословность и при оценке по INVEST, особенное внимание обращается на размер истории. Если команда понимает, что требование представляет из себя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epic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то происходит декомпозиция.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После того, как требование прошло этап трансформирования в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и валидацию со стороны команды (3 амиго), можно приступать к проработке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2. Дополняем </w:t>
      </w: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 к User Story на встрече 3-х Амиго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Для начала нужно определиться, а чем же все-таки являются критерии приемки.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10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Итак, критерии приёмки (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) — это требования от заказчика;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спецификация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по которой может быть проверена система/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У них есть альтернативное название,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conditions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of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 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satisfaction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— условия удовлетворения ожиданий (автор Майк Кон).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На встречу 3-х Амиго команда уже приходит подготовленная. У них уже имеется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провалидированная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,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которая возможно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уже даже обладает каким-то набором критериев приемки, которые представитель бизнеса сформулировал самостоятельно.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Во время встречи, задачи участников дополнить/обогатить историю достаточным количеством критериев приемки для ее последующей реализации.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 критериях приемки не должны на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ходиться детали реализации. Фактически, критерии приемки — это бизнес-правила, которым подчиняется прорабатываемая пользовательская история. Детали же реализации фиксируются в приемочных тестах, но после того, как все критерии приемки были сформулированы.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347960" cy="5295900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0347960" cy="52958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814.8pt;height:417.0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Смешивать детали реализации с критериями приемки не стоит еще хотя бы потому, что при ограниченных сроках, вы как команда всегда можете "выкинуть" какой-то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scope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критериев, который в ближайший момент не так важны бизнесу.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При наличие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деталей с технической реализацией в критериях — вы рискуете потерять важную информацию и время, которое уже было потрачено на обсуждение деталей реализации. Ваши детали реализации напрямую зависят от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scope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критериев, которые вам надо сделать.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Также избегайте последовательного описания сценария с набором шагов (классическая система ведения тест-кейсов). Любое ваше утверждение должно быть атомарным. Лучше использовать описательный стиль ожидаемого поведения создаваемой функции.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Например: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DejaVu Sans Light" w:hAnsi="DejaVu Sans Light" w:cs="DejaVu Sans Light" w:eastAsia="DejaVu Sans Light"/>
          <w:sz w:val="20"/>
          <w:szCs w:val="20"/>
        </w:rPr>
      </w:pPr>
      <w:r>
        <w:rPr>
          <w:rFonts w:ascii="DejaVu Sans Light" w:hAnsi="DejaVu Sans Light" w:cs="DejaVu Sans Light" w:eastAsia="DejaVu Sans Light"/>
          <w:sz w:val="20"/>
          <w:szCs w:val="20"/>
          <w:lang w:eastAsia="ru-RU"/>
        </w:rPr>
        <w:t xml:space="preserve">*Когда пользователь заходит в карточку сотрудника, то видит пустые поля </w:t>
      </w:r>
      <w:r>
        <w:rPr>
          <w:rFonts w:ascii="DejaVu Sans Light" w:hAnsi="DejaVu Sans Light" w:cs="DejaVu Sans Light" w:eastAsia="DejaVu Sans Light"/>
          <w:sz w:val="20"/>
          <w:szCs w:val="20"/>
          <w:lang w:eastAsia="ru-RU"/>
        </w:rPr>
        <w:t xml:space="preserve">ввода.*</w:t>
      </w:r>
      <w:r>
        <w:rPr>
          <w:rFonts w:ascii="DejaVu Sans Light" w:hAnsi="DejaVu Sans Light" w:cs="DejaVu Sans Light" w:eastAsia="DejaVu Sans Light"/>
          <w:sz w:val="20"/>
          <w:szCs w:val="20"/>
          <w:lang w:eastAsia="ru-RU"/>
        </w:rPr>
        <w:t xml:space="preserve">&gt;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3. Выдерживаем тайминг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Хорошо декомпозированная US как правило не содержит в себе больше 10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Если в процессе обсуждения обнаруживается большое количество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и все они подлежат реализации, то тогда эту историю необходимо декомпозировать на несколько историй с разным пулом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acceptance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criteria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Если этого не сделать, то встреча 3 Амиго будет сильно затягиваться.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10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Оптимальное время для проведения встречи 3-х Амиго — от 30 мин до 1 часа.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Допустимо увеличение в самом начале пути — когда команда только учится общаться и применять эту практику.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Если команда берет в работу большую историю, то маловероятно, что за один сеанс они смогут прораб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отать все критерии и приемочные тесты. Потому что теряется фокус и внимательность. В этом случае нужно разбить сессию на несколько встреч. Но в данном случае есть риск потери контекста, и может понадобиться дополнительное погружение при повторной встрече.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27"/>
          <w:szCs w:val="27"/>
        </w:rPr>
        <w:outlineLvl w:val="2"/>
      </w:pPr>
      <w:r>
        <w:rPr>
          <w:rFonts w:ascii="DejaVu Sans Light" w:hAnsi="DejaVu Sans Light" w:cs="DejaVu Sans Light" w:eastAsia="DejaVu Sans Light"/>
          <w:b/>
          <w:bCs/>
          <w:sz w:val="27"/>
          <w:szCs w:val="27"/>
          <w:lang w:eastAsia="ru-RU"/>
        </w:rPr>
        <w:t xml:space="preserve">4. Для полноты проработки критериев применяем эвристику USR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Когда я обучаю команды данной практике, то рекомендую в самом начале их пути пользоваться эвристиками, чтобы сгладить отсутствие опыта. С опытом у команды появляются свои эвристики и чек-листы на что обращать внимание при проработке критериев.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91590" cy="4343638"/>
                <wp:effectExtent l="6350" t="6350" r="6350" b="635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191589" cy="43436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87.5pt;height:342.0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Эвристика USR позволяет рассмотреть критерии на всех уровнях, которые необходимы, чтоб получить максимум информации о том, что хочет заказчик.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Итак,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b/>
          <w:bCs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— Что пользователь хочет сделать с системой?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b/>
          <w:bCs/>
          <w:sz w:val="24"/>
          <w:szCs w:val="24"/>
          <w:lang w:eastAsia="ru-RU"/>
        </w:rPr>
        <w:t xml:space="preserve">SYSTEM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— Что должна делать система?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b/>
          <w:bCs/>
          <w:sz w:val="24"/>
          <w:szCs w:val="24"/>
          <w:lang w:eastAsia="ru-RU"/>
        </w:rPr>
        <w:t xml:space="preserve">RISKS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— Какие проблемы могут возникнуть?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Важно сначала проработать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все критерии группы USER, и затем только переходить на уровень системы. Тут включаются разработчики фронта и бэкенда, и на уровне своих систем могут сформулировать критерии приемки к тому, что должно получиться, чтобы реализовать критерии из группы USER.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Ну и наконец группа RISK. Про нее чаще всего забывают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про проработке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требований, хотя она не менее важная. Тут рассматриваются различные сложные кейсы,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которые возможно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вы не будете реализовывать. Но проговорить и принять риски как команда — обязаны.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6" o:spid="_x0000_s6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Способы применения практики для проработки тест-кейсов до разработки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Рекомендуемый способ формализации требований — примеры использования, в российском IT мы это называем тест-кейсами.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  <w:t xml:space="preserve">Есть удобный инструмент проработки тест-кейсов на встрече 3-х Амиго, называется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example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mapping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В этой статье я вкратце затронула его. В следующей статье мы опубликуем подробную информацию по этому инструменту и как он применяется в рамках встречи триады.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3283" cy="4053205"/>
                <wp:effectExtent l="0" t="0" r="0" b="4445"/>
                <wp:docPr id="8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5784" cy="4061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80.6pt;height:319.1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Тест-кейсы могут быть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реализованны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как автоматизированные приемочные тесты к истории. Также, когда вы прорабатываете тест-кейсы, обязательно группируйте их. Разделение тест-кейсов на группы — это способ поделить историю на несколько более маленьких.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  <w:t xml:space="preserve">В тест-кейсах декомпозиция бизнес-правила происходит ровно на том системном уровне, на котором они и будут реализовываться, а не со стороны пользователя.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  <w:t xml:space="preserve">Все детали реализации должны находиться в ваших тест-кейсах, чтобы на них происходила ориентация разработчиков в процессе реализации.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9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8" o:spid="_x0000_s8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Как это может выглядеть в общем процессе (когда нужно проводить эту встречу)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Рекомендуется в рамках одной встречи прорабатывать требования только на одну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user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story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Допускается больше, при условии, это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это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совсем маленькие истории или они между собой связаны по смыслу. 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Так как в спринт вы берете уже готовые к работе истории, то встречу 3 Амиго по истории нужно провести до планирования. Иначе вы рискуете сильно ошибиться с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предварительной оценкой.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На практике,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оценки истории после встречи 3-х Амиго сильно отличаются от изначальных.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  <w:highlight w:val="none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Также, имеет смысл добавить в DOD новый пункт как индикатор готовности, что история готова к работе над ней в спринте.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b/>
        </w:rPr>
        <w:t xml:space="preserve">Definition of Done («Определение готовности», DoD)</w:t>
      </w:r>
      <w:r>
        <w:rPr>
          <w:rFonts w:ascii="DejaVu Sans Light" w:hAnsi="DejaVu Sans Light" w:cs="DejaVu Sans Light" w:eastAsia="DejaVu Sans Light"/>
        </w:rPr>
        <w:t xml:space="preserve"> — это список условий к процессу и инкременту при выполнении которых элемент бэклога может считаться готовым, сделанным (Done). DoD применяется ко всем элементам бэклога продукта.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Не путать с </w:t>
      </w:r>
      <w:r>
        <w:rPr>
          <w:rFonts w:ascii="DejaVu Sans Light" w:hAnsi="DejaVu Sans Light" w:cs="DejaVu Sans Light" w:eastAsia="DejaVu Sans Light"/>
          <w:b/>
        </w:rPr>
        <w:t xml:space="preserve">Acceptance Criteria (Критериями приёмки, AC)</w:t>
      </w:r>
      <w:r>
        <w:rPr>
          <w:rFonts w:ascii="DejaVu Sans Light" w:hAnsi="DejaVu Sans Light" w:cs="DejaVu Sans Light" w:eastAsia="DejaVu Sans Light"/>
        </w:rPr>
        <w:t xml:space="preserve"> — списком требований к конкретному PBI(Product Backlog Item). Это условия, которые позволяют понять, реализована история или нет. Причём AC может быть одним из обязательных элементов как DoR так и Do</w:t>
      </w:r>
      <w:r>
        <w:rPr>
          <w:rFonts w:ascii="DejaVu Sans Light" w:hAnsi="DejaVu Sans Light" w:cs="DejaVu Sans Light" w:eastAsia="DejaVu Sans Light"/>
        </w:rPr>
        <w:t xml:space="preserve">D.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b/>
        </w:rPr>
        <w:t xml:space="preserve">Definition of Ready(Критерии готовности к взятию в работу, DoR) </w:t>
      </w:r>
      <w:r>
        <w:rPr>
          <w:rFonts w:ascii="DejaVu Sans Light" w:hAnsi="DejaVu Sans Light" w:cs="DejaVu Sans Light" w:eastAsia="DejaVu Sans Light"/>
        </w:rPr>
        <w:t xml:space="preserve">— Список условий к элементу бэклога при котором ее можно взять в работу. То есть, если PBI(Product Backlog Item), отвечает критериям DoR, команда может взять её на планировании спринта в работ</w:t>
      </w:r>
      <w:r>
        <w:rPr>
          <w:rFonts w:ascii="DejaVu Sans Light" w:hAnsi="DejaVu Sans Light" w:cs="DejaVu Sans Light" w:eastAsia="DejaVu Sans Light"/>
        </w:rPr>
        <w:t xml:space="preserve">у.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Зачем нужен DoD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DoD существуют, чтобы обеспечить прозрачность и сфокусировать на прогрессе по каждому артефакту — сказано в Scrum Guide.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Зачем нужен DoD: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9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Все участники </w:t>
      </w:r>
      <w:r>
        <w:rPr>
          <w:rFonts w:ascii="DejaVu Sans Light" w:hAnsi="DejaVu Sans Light" w:cs="DejaVu Sans Light" w:eastAsia="DejaVu Sans Light"/>
        </w:rPr>
        <w:t xml:space="preserve">Одинаково</w:t>
      </w:r>
      <w:r>
        <w:rPr>
          <w:rFonts w:ascii="DejaVu Sans Light" w:hAnsi="DejaVu Sans Light" w:cs="DejaVu Sans Light" w:eastAsia="DejaVu Sans Light"/>
          <w:sz w:val="24"/>
        </w:rPr>
        <w:t xml:space="preserve"> понимали слово — Готово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9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Управление качеством инкремента продукта и нефункциональными требованиями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9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Взятие под контроль технического долга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9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Возможность не снижать, а увеличивать скорость разработки с течением времени</w: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Влияние DoD на скорость проекта с течением времени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Зачем нужен DoR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0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Не допустить начала работы над недостаточно детализированными PBI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0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Улучшить результативность проведения Планирования спринта, и уменьшить тайминг мероприятия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Кто ответственен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1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Если нет стандарта организации за DoD ответственна Команда. Команда сама разрабатывает критерии исходя из потребностей своего продукта.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1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За DoR ответственна Команда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1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За AC – Владелец продукта.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Scrum-мастер или Agile Coach помогает воспитывать культуру технической дисциплины и мастерства.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Когда DoR и DoD создаются и меняются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Важно понимать – критерии не высечены в камне – они меряются со временем в зависимости от трудностей которое стоят перед командой. Нет каких-то стандартных критериев – каждый критерий – ответ на трудность или проблему.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2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Первые договорённости происходят на kickoff проекта.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2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Лучшее время для пересмотра DoR и DoD — ретроспектива.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Никогда не перемещайте задачу в колонку «Сделано» преждевременно. Почти сделано, на 99 % сделано – это ещё не Done. Не спешите, даже если продемонстрировать прогресс кажется необходимым.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Уровни и типы DoD в Scrum</w: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Уровни и типы DoD в Scrum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DoD может быть разный для разных уровней детализации Бэклога. Причём вышестоящие уровни как бы включают все нижестоящие.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На уровне Продукта или Релиза выполняется общее DoD, например: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3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Документация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3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Тест ковердж &gt;60%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3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CI/CD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На уровне Эпика или User Story– это DoD инкремента.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У Бага или Инцидента может быть свой DoD.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DoD в Kanban</w: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DoD в Kanban</w:t>
      </w:r>
      <w:r>
        <w:rPr>
          <w:rFonts w:ascii="DejaVu Sans Light" w:hAnsi="DejaVu Sans Light" w:cs="DejaVu Sans Light" w:eastAsia="DejaVu Sans Light"/>
        </w:rPr>
      </w:r>
    </w:p>
    <w:p>
      <w:pPr>
        <w:spacing w:line="47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</w:rPr>
        <w:t xml:space="preserve">В Kanban каждая колонка Done имеет собственный DoD.</w:t>
      </w:r>
      <w:r>
        <w:rPr>
          <w:rFonts w:ascii="DejaVu Sans Light" w:hAnsi="DejaVu Sans Light" w:cs="DejaVu Sans Light" w:eastAsia="DejaVu Sans Light"/>
        </w:rPr>
      </w:r>
    </w:p>
    <w:p>
      <w:pPr>
        <w:pStyle w:val="11"/>
        <w:spacing w:line="419" w:lineRule="atLeast"/>
        <w:shd w:val="clear" w:color="ffffff" w:fill="ffffff"/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Хорошие практики для больших компаний: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4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Как и везде — введение чего-нибудь дополнительного — реакция на волне конкретный класс проблем. </w:t>
      </w:r>
      <w:r>
        <w:rPr>
          <w:rFonts w:ascii="DejaVu Sans Light" w:hAnsi="DejaVu Sans Light" w:cs="DejaVu Sans Light" w:eastAsia="DejaVu Sans Light"/>
        </w:rPr>
        <w:t xml:space="preserve">Нет проблемы — не надо придумывать сущности.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4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При работе нескольких команд над одним продуктом необходимо использовать единый DoD.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14"/>
        </w:numPr>
        <w:spacing w:line="419" w:lineRule="atLeast"/>
        <w:shd w:val="clear" w:color="ffffff" w:fill="ffffff"/>
        <w:tabs>
          <w:tab w:val="left" w:pos="720" w:leader="none"/>
        </w:tabs>
        <w:rPr>
          <w:rFonts w:ascii="DejaVu Sans Light" w:hAnsi="DejaVu Sans Light" w:cs="DejaVu Sans Light" w:eastAsia="DejaVu Sans Light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ejaVu Sans Light" w:hAnsi="DejaVu Sans Light" w:cs="DejaVu Sans Light" w:eastAsia="DejaVu Sans Light"/>
          <w:sz w:val="24"/>
        </w:rPr>
        <w:t xml:space="preserve">Включение глобальных нефункциональных требований в DoD.</w:t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highlight w:val="none"/>
          <w:lang w:eastAsia="ru-RU"/>
        </w:rPr>
      </w:r>
      <w:r>
        <w:rPr>
          <w:rFonts w:ascii="DejaVu Sans Light" w:hAnsi="DejaVu Sans Light" w:cs="DejaVu Sans Light" w:eastAsia="DejaVu Sans Light"/>
          <w:sz w:val="24"/>
          <w:szCs w:val="24"/>
          <w:highlight w:val="none"/>
          <w:lang w:eastAsia="ru-RU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Какой результат на выходе встречи 3 Амиго?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сценарии/примеры (очевидные ответы)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уточненные правила/критерии приемки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новые/декомпозированные истории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общее понимание проблемной области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эмпатия (сопереживание, участие)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i/>
          <w:iCs/>
          <w:sz w:val="24"/>
          <w:szCs w:val="24"/>
          <w:lang w:eastAsia="ru-RU"/>
        </w:rPr>
        <w:t xml:space="preserve">Основным результатом трех амиго являются приемочные тесты, написанные в формате « </w:t>
      </w:r>
      <w:hyperlink r:id="rId16" w:tooltip="http://jonkruger.com/blog/2011/10/24/know-what-youre-building/" w:history="1">
        <w:r>
          <w:rPr>
            <w:rFonts w:ascii="DejaVu Sans Light" w:hAnsi="DejaVu Sans Light" w:cs="DejaVu Sans Light" w:eastAsia="DejaVu Sans Light"/>
            <w:i/>
            <w:iCs/>
            <w:color w:val="0000FF"/>
            <w:sz w:val="24"/>
            <w:szCs w:val="24"/>
            <w:u w:val="single"/>
            <w:lang w:eastAsia="ru-RU"/>
          </w:rPr>
          <w:t xml:space="preserve">Дано / Когда / Тогда»</w:t>
        </w:r>
      </w:hyperlink>
      <w:r>
        <w:rPr>
          <w:rFonts w:ascii="DejaVu Sans Light" w:hAnsi="DejaVu Sans Light" w:cs="DejaVu Sans Light" w:eastAsia="DejaVu Sans Light"/>
          <w:i/>
          <w:iCs/>
          <w:sz w:val="24"/>
          <w:szCs w:val="24"/>
          <w:lang w:eastAsia="ru-RU"/>
        </w:rPr>
        <w:t xml:space="preserve">. На самом деле их написание может занять больше времени чем хотелось бы, поэтому формализовывать все требования на встрече, когда все вместе нах</w:t>
      </w:r>
      <w:r>
        <w:rPr>
          <w:rFonts w:ascii="DejaVu Sans Light" w:hAnsi="DejaVu Sans Light" w:cs="DejaVu Sans Light" w:eastAsia="DejaVu Sans Light"/>
          <w:i/>
          <w:iCs/>
          <w:sz w:val="24"/>
          <w:szCs w:val="24"/>
          <w:lang w:eastAsia="ru-RU"/>
        </w:rPr>
        <w:t xml:space="preserve">одятся, не рекомендуется. Обычно разработчик или тестировщик работают над этим вне встречи. И как только у них есть все критерии и тест-кейсы записаны, 3 Амиго кратко просматривают что получилось, чтобы убедиться, что все согласны с тем, что было записано.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0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Профит использования практики 3-х Амиго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Стратегия 3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Amigos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может оказать огромное влияние на эффективность всей команды, а также на качество и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поддерживаемость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 ваших проектов, повышая маневренность, гибкость к изменениям.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Вот ещё несколько бонусов: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При планировании не тратим много времени на погружение в смысл истории.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Выявляет путаницу и недопонимание на ранней стадии, что позволяет ускорить доставку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Гарантирует, что команда, обсудит необходимый объем работы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Помогает найти все критерии приемки и другие атрибуты качества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Разрабатывать по тест-кейсам значительно легче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Провоцируем разработчиков на покрытие кода тестами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Быстрее приходим к выводу, что эта фича не нужна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Наши команды, применяя практику, смогли прийти к уменьшению возвратов задачи из-за неточной спецификации. Задачи бэкенда ребята научились разрабатывать "с первого раза". То есть без багов и сразу на 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прод</w:t>
      </w: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. 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0" cy="19050"/>
                <wp:effectExtent l="0" t="0" r="0" b="0"/>
                <wp:docPr id="1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0" o:spid="_x0000_s10" o:spt="1" style="mso-wrap-distance-left:0.0pt;mso-wrap-distance-top:0.0pt;mso-wrap-distance-right:0.0pt;mso-wrap-distance-bottom:0.0pt;width:0.0pt;height:1.5pt;" coordsize="100000,100000" path="" fillcolor="#A0A0A0" stroked="f">
                <v:path textboxrect="0,0,0,0"/>
              </v:shape>
            </w:pict>
          </mc:Fallback>
        </mc:AlternateConten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br/>
      </w:r>
      <w:r>
        <w:rPr>
          <w:rFonts w:ascii="DejaVu Sans Light" w:hAnsi="DejaVu Sans Light" w:cs="DejaVu Sans Light" w:eastAsia="DejaVu Sans Light"/>
        </w:rPr>
      </w:r>
    </w:p>
    <w:p>
      <w:p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b/>
          <w:bCs/>
          <w:sz w:val="36"/>
          <w:szCs w:val="36"/>
        </w:rPr>
        <w:outlineLvl w:val="1"/>
      </w:pPr>
      <w:r>
        <w:rPr>
          <w:rFonts w:ascii="DejaVu Sans Light" w:hAnsi="DejaVu Sans Light" w:cs="DejaVu Sans Light" w:eastAsia="DejaVu Sans Light"/>
          <w:b/>
          <w:bCs/>
          <w:sz w:val="36"/>
          <w:szCs w:val="36"/>
          <w:lang w:eastAsia="ru-RU"/>
        </w:rPr>
        <w:t xml:space="preserve">Подводные камни</w:t>
      </w:r>
      <w:r>
        <w:rPr>
          <w:rFonts w:ascii="DejaVu Sans Light" w:hAnsi="DejaVu Sans Light" w:cs="DejaVu Sans Light" w:eastAsia="DejaVu Sans Light"/>
        </w:rPr>
      </w:r>
    </w:p>
    <w:p>
      <w:pPr>
        <w:spacing w:after="0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Не ограничивайтесь только тремя людьми. Если нужно больше — зовем.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Не проводите встречу на всю команду. В этой встрече должно быть минимально необходимое количество людей для реализации фичи.</w:t>
      </w:r>
      <w:r>
        <w:rPr>
          <w:rFonts w:ascii="DejaVu Sans Light" w:hAnsi="DejaVu Sans Light" w:cs="DejaVu Sans Light" w:eastAsia="DejaVu Sans Light"/>
        </w:rPr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DejaVu Sans Light" w:hAnsi="DejaVu Sans Light" w:cs="DejaVu Sans Light" w:eastAsia="DejaVu Sans Light"/>
          <w:sz w:val="24"/>
          <w:szCs w:val="24"/>
        </w:rPr>
      </w:pPr>
      <w:r>
        <w:rPr>
          <w:rFonts w:ascii="DejaVu Sans Light" w:hAnsi="DejaVu Sans Light" w:cs="DejaVu Sans Light" w:eastAsia="DejaVu Sans Light"/>
          <w:sz w:val="24"/>
          <w:szCs w:val="24"/>
          <w:lang w:eastAsia="ru-RU"/>
        </w:rPr>
        <w:t xml:space="preserve">Не рассматривайте как регулярное собрание — ритуал. Иначе у команды будет негатив от увеличения количества встреч. </w:t>
      </w:r>
      <w:r>
        <w:rPr>
          <w:rFonts w:ascii="DejaVu Sans Light" w:hAnsi="DejaVu Sans Light" w:cs="DejaVu Sans Light" w:eastAsia="DejaVu Sans Light"/>
        </w:rPr>
      </w:r>
    </w:p>
    <w:p>
      <w:pPr>
        <w:rPr>
          <w:rFonts w:ascii="DejaVu Sans Light" w:hAnsi="DejaVu Sans Light" w:cs="DejaVu Sans Light" w:eastAsia="DejaVu Sans Light"/>
        </w:rPr>
      </w:pPr>
      <w:r>
        <w:rPr>
          <w:rFonts w:ascii="DejaVu Sans Light" w:hAnsi="DejaVu Sans Light" w:cs="DejaVu Sans Light" w:eastAsia="DejaVu Sans Light"/>
        </w:rPr>
      </w:r>
      <w:r>
        <w:rPr>
          <w:rFonts w:ascii="DejaVu Sans Light" w:hAnsi="DejaVu Sans Light" w:cs="DejaVu Sans Light" w:eastAsia="DejaVu Sans Light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ans Light">
    <w:panose1 w:val="020B0203030804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cs="Wingdings" w:eastAsia="Wingdings" w:hint="default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</w:pPr>
      <w:rPr>
        <w:rFonts w:ascii="Wingdings" w:hAnsi="Wingdings" w:cs="Wingdings" w:eastAsia="Wingdings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cs="Wingdings" w:eastAsia="Wingdings" w:hint="default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</w:pPr>
      <w:rPr>
        <w:rFonts w:ascii="Wingdings" w:hAnsi="Wingdings" w:cs="Wingdings" w:eastAsia="Wingdings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14"/>
    <w:next w:val="614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615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14"/>
    <w:next w:val="614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615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14"/>
    <w:next w:val="614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15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14"/>
    <w:next w:val="614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15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14"/>
    <w:next w:val="614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15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14"/>
    <w:next w:val="614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15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14"/>
    <w:next w:val="614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1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14"/>
    <w:next w:val="614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1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14"/>
    <w:next w:val="614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1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14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614"/>
    <w:next w:val="614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15"/>
    <w:link w:val="32"/>
    <w:uiPriority w:val="10"/>
    <w:rPr>
      <w:sz w:val="48"/>
      <w:szCs w:val="48"/>
    </w:rPr>
  </w:style>
  <w:style w:type="paragraph" w:styleId="34">
    <w:name w:val="Subtitle"/>
    <w:basedOn w:val="614"/>
    <w:next w:val="614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15"/>
    <w:link w:val="34"/>
    <w:uiPriority w:val="11"/>
    <w:rPr>
      <w:sz w:val="24"/>
      <w:szCs w:val="24"/>
    </w:rPr>
  </w:style>
  <w:style w:type="paragraph" w:styleId="36">
    <w:name w:val="Quote"/>
    <w:basedOn w:val="614"/>
    <w:next w:val="614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14"/>
    <w:next w:val="614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14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15"/>
    <w:link w:val="40"/>
    <w:uiPriority w:val="99"/>
  </w:style>
  <w:style w:type="paragraph" w:styleId="42">
    <w:name w:val="Footer"/>
    <w:basedOn w:val="614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15"/>
    <w:link w:val="42"/>
    <w:uiPriority w:val="99"/>
  </w:style>
  <w:style w:type="paragraph" w:styleId="44">
    <w:name w:val="Caption"/>
    <w:basedOn w:val="614"/>
    <w:next w:val="6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614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15"/>
    <w:uiPriority w:val="99"/>
    <w:unhideWhenUsed/>
    <w:rPr>
      <w:vertAlign w:val="superscript"/>
    </w:rPr>
  </w:style>
  <w:style w:type="paragraph" w:styleId="176">
    <w:name w:val="endnote text"/>
    <w:basedOn w:val="614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15"/>
    <w:uiPriority w:val="99"/>
    <w:semiHidden/>
    <w:unhideWhenUsed/>
    <w:rPr>
      <w:vertAlign w:val="superscript"/>
    </w:rPr>
  </w:style>
  <w:style w:type="paragraph" w:styleId="179">
    <w:name w:val="toc 1"/>
    <w:basedOn w:val="614"/>
    <w:next w:val="614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14"/>
    <w:next w:val="614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14"/>
    <w:next w:val="614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14"/>
    <w:next w:val="614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14"/>
    <w:next w:val="614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14"/>
    <w:next w:val="614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14"/>
    <w:next w:val="614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14"/>
    <w:next w:val="614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14"/>
    <w:next w:val="614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14"/>
    <w:next w:val="614"/>
    <w:uiPriority w:val="99"/>
    <w:unhideWhenUsed/>
    <w:pPr>
      <w:spacing w:after="0" w:afterAutospacing="0"/>
    </w:pPr>
  </w:style>
  <w:style w:type="paragraph" w:styleId="614" w:default="1">
    <w:name w:val="Normal"/>
    <w:qFormat/>
  </w:style>
  <w:style w:type="character" w:styleId="615" w:default="1">
    <w:name w:val="Default Paragraph Font"/>
    <w:uiPriority w:val="1"/>
    <w:semiHidden/>
    <w:unhideWhenUsed/>
  </w:style>
  <w:style w:type="table" w:styleId="6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7" w:default="1">
    <w:name w:val="No List"/>
    <w:uiPriority w:val="99"/>
    <w:semiHidden/>
    <w:unhideWhenUsed/>
  </w:style>
  <w:style w:type="character" w:styleId="618">
    <w:name w:val="Hyperlink"/>
    <w:basedOn w:val="615"/>
    <w:uiPriority w:val="99"/>
    <w:unhideWhenUsed/>
    <w:rPr>
      <w:color w:val="0563C1" w:themeColor="hyperlink"/>
      <w:u w:val="single"/>
    </w:rPr>
  </w:style>
  <w:style w:type="character" w:styleId="619">
    <w:name w:val="Unresolved Mention"/>
    <w:basedOn w:val="615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habr.com/ru/company/tinkoff/blog/449424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g"/><Relationship Id="rId16" Type="http://schemas.openxmlformats.org/officeDocument/2006/relationships/hyperlink" Target="http://jonkruger.com/blog/2011/10/24/know-what-youre-building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Занозина Ирина Евгеньевна</dc:creator>
  <cp:keywords/>
  <dc:description/>
  <cp:lastModifiedBy>И И</cp:lastModifiedBy>
  <cp:revision>2</cp:revision>
  <dcterms:created xsi:type="dcterms:W3CDTF">2022-08-13T15:11:00Z</dcterms:created>
  <dcterms:modified xsi:type="dcterms:W3CDTF">2022-08-24T14:05:17Z</dcterms:modified>
</cp:coreProperties>
</file>