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72F3" w14:textId="1658CD10" w:rsidR="000D01DC" w:rsidRDefault="000D01DC" w:rsidP="000D01DC">
      <w:pPr>
        <w:pStyle w:val="lia-paragraph"/>
        <w:rPr>
          <w:rFonts w:ascii="LiaSourceSansPro" w:hAnsi="LiaSourceSansPro"/>
          <w:color w:val="4B4B4B"/>
          <w:sz w:val="23"/>
          <w:szCs w:val="23"/>
        </w:rPr>
      </w:pPr>
      <w:r>
        <w:rPr>
          <w:rStyle w:val="Krepko"/>
          <w:rFonts w:ascii="LiaSourceSansPro" w:hAnsi="LiaSourceSansPro"/>
          <w:color w:val="4B4B4B"/>
          <w:sz w:val="23"/>
          <w:szCs w:val="23"/>
        </w:rPr>
        <w:t>Problem:</w:t>
      </w:r>
      <w:r>
        <w:rPr>
          <w:rFonts w:ascii="LiaSourceSansPro" w:hAnsi="LiaSourceSansPro"/>
          <w:color w:val="4B4B4B"/>
          <w:sz w:val="23"/>
          <w:szCs w:val="23"/>
        </w:rPr>
        <w:t xml:space="preserve"> V Sloveniji v preteklih letih vpada število ljudi, ki hodijo na igrišča, razlog je, da nimajo prijateljev ali pa soigralcev, ki bi skupaj igrali z njimi šport. Dan danes se na javnih igriščih v Sloveniji tudi redko zgodi kakšen </w:t>
      </w:r>
      <w:proofErr w:type="spellStart"/>
      <w:r>
        <w:rPr>
          <w:rFonts w:ascii="LiaSourceSansPro" w:hAnsi="LiaSourceSansPro"/>
          <w:color w:val="4B4B4B"/>
          <w:sz w:val="23"/>
          <w:szCs w:val="23"/>
        </w:rPr>
        <w:t>event</w:t>
      </w:r>
      <w:proofErr w:type="spellEnd"/>
      <w:r>
        <w:rPr>
          <w:rFonts w:ascii="LiaSourceSansPro" w:hAnsi="LiaSourceSansPro"/>
          <w:color w:val="4B4B4B"/>
          <w:sz w:val="23"/>
          <w:szCs w:val="23"/>
        </w:rPr>
        <w:t xml:space="preserve"> ali turnir.</w:t>
      </w:r>
      <w:r w:rsidR="00BB4019">
        <w:rPr>
          <w:rFonts w:ascii="LiaSourceSansPro" w:hAnsi="LiaSourceSansPro"/>
          <w:color w:val="4B4B4B"/>
          <w:sz w:val="23"/>
          <w:szCs w:val="23"/>
        </w:rPr>
        <w:t xml:space="preserve"> </w:t>
      </w:r>
      <w:r w:rsidR="00D94A20">
        <w:rPr>
          <w:rFonts w:ascii="LiaSourceSansPro" w:hAnsi="LiaSourceSansPro"/>
          <w:color w:val="4B4B4B"/>
          <w:sz w:val="23"/>
          <w:szCs w:val="23"/>
        </w:rPr>
        <w:t>Velik problem je tudi, da je velik procent ljudi v Sloveniji fizično neaktivnih(med 50 in 60% odraslih), kar želiva spremeniti.</w:t>
      </w:r>
    </w:p>
    <w:p w14:paraId="7CB37F82" w14:textId="5CA3BDB6" w:rsidR="000D01DC" w:rsidRDefault="000D01DC" w:rsidP="000D01DC">
      <w:pPr>
        <w:pStyle w:val="lia-paragraph"/>
        <w:rPr>
          <w:rFonts w:ascii="LiaSourceSansPro" w:hAnsi="LiaSourceSansPro"/>
          <w:color w:val="4B4B4B"/>
          <w:sz w:val="23"/>
          <w:szCs w:val="23"/>
        </w:rPr>
      </w:pPr>
      <w:r>
        <w:rPr>
          <w:rStyle w:val="Krepko"/>
          <w:rFonts w:ascii="LiaSourceSansPro" w:hAnsi="LiaSourceSansPro"/>
          <w:color w:val="4B4B4B"/>
          <w:sz w:val="23"/>
          <w:szCs w:val="23"/>
        </w:rPr>
        <w:t>Rešitev:</w:t>
      </w:r>
      <w:r>
        <w:rPr>
          <w:rFonts w:ascii="LiaSourceSansPro" w:hAnsi="LiaSourceSansPro"/>
          <w:color w:val="4B4B4B"/>
          <w:sz w:val="23"/>
          <w:szCs w:val="23"/>
        </w:rPr>
        <w:t> Aplikacija »</w:t>
      </w:r>
      <w:proofErr w:type="spellStart"/>
      <w:r>
        <w:rPr>
          <w:rFonts w:ascii="LiaSourceSansPro" w:hAnsi="LiaSourceSansPro"/>
          <w:color w:val="4B4B4B"/>
          <w:sz w:val="23"/>
          <w:szCs w:val="23"/>
        </w:rPr>
        <w:t>GEOPickUp</w:t>
      </w:r>
      <w:proofErr w:type="spellEnd"/>
      <w:r>
        <w:rPr>
          <w:rFonts w:ascii="LiaSourceSansPro" w:hAnsi="LiaSourceSansPro"/>
          <w:color w:val="4B4B4B"/>
          <w:sz w:val="23"/>
          <w:szCs w:val="23"/>
        </w:rPr>
        <w:t xml:space="preserve">« bo poiskala igrišča na željeni lokaciji in pokazala če je kakšen uporabnik na njem. Aplikacija bo podala tudi možnost turnirjev ter </w:t>
      </w:r>
      <w:proofErr w:type="spellStart"/>
      <w:r>
        <w:rPr>
          <w:rFonts w:ascii="LiaSourceSansPro" w:hAnsi="LiaSourceSansPro"/>
          <w:color w:val="4B4B4B"/>
          <w:sz w:val="23"/>
          <w:szCs w:val="23"/>
        </w:rPr>
        <w:t>eventov</w:t>
      </w:r>
      <w:proofErr w:type="spellEnd"/>
      <w:r>
        <w:rPr>
          <w:rFonts w:ascii="LiaSourceSansPro" w:hAnsi="LiaSourceSansPro"/>
          <w:color w:val="4B4B4B"/>
          <w:sz w:val="23"/>
          <w:szCs w:val="23"/>
        </w:rPr>
        <w:t>, ki jih lahko organizirajo uporabniki ali pa midva. To bo spodbudilo uporabnike, da grejo na igrišče in dvignilo nivo uličnega športa v Sloveniji.</w:t>
      </w:r>
      <w:r w:rsidR="00BB4019">
        <w:rPr>
          <w:rFonts w:ascii="LiaSourceSansPro" w:hAnsi="LiaSourceSansPro"/>
          <w:color w:val="4B4B4B"/>
          <w:sz w:val="23"/>
          <w:szCs w:val="23"/>
        </w:rPr>
        <w:t xml:space="preserve"> Zdi se nama, da je aplikacija pomembna za povezovanje športnikov in, da jim omogoča lažjo komunikacijo med sabo.</w:t>
      </w:r>
    </w:p>
    <w:p w14:paraId="0D2F9704" w14:textId="2211810E" w:rsidR="000D01DC" w:rsidRDefault="000D01DC" w:rsidP="000D01DC">
      <w:pPr>
        <w:pStyle w:val="lia-paragraph"/>
        <w:rPr>
          <w:rFonts w:ascii="LiaSourceSansPro" w:hAnsi="LiaSourceSansPro"/>
          <w:color w:val="4B4B4B"/>
          <w:sz w:val="23"/>
          <w:szCs w:val="23"/>
        </w:rPr>
      </w:pPr>
      <w:r>
        <w:rPr>
          <w:rStyle w:val="Krepko"/>
          <w:rFonts w:ascii="LiaSourceSansPro" w:hAnsi="LiaSourceSansPro"/>
          <w:color w:val="4B4B4B"/>
          <w:sz w:val="23"/>
          <w:szCs w:val="23"/>
        </w:rPr>
        <w:t>Ciljna skupina:</w:t>
      </w:r>
      <w:r>
        <w:rPr>
          <w:rFonts w:ascii="LiaSourceSansPro" w:hAnsi="LiaSourceSansPro"/>
          <w:color w:val="4B4B4B"/>
          <w:sz w:val="23"/>
          <w:szCs w:val="23"/>
        </w:rPr>
        <w:t> Vse starostne skupine, ljubitelji športa</w:t>
      </w:r>
      <w:r w:rsidR="00BB4019">
        <w:rPr>
          <w:rFonts w:ascii="LiaSourceSansPro" w:hAnsi="LiaSourceSansPro"/>
          <w:color w:val="4B4B4B"/>
          <w:sz w:val="23"/>
          <w:szCs w:val="23"/>
        </w:rPr>
        <w:t xml:space="preserve">, ljudi, ki bi radi tekmovali. Konec koncev tudi za ljudi, ki bi radi gledali tekmovanja in se udeležili </w:t>
      </w:r>
      <w:proofErr w:type="spellStart"/>
      <w:r w:rsidR="00BB4019">
        <w:rPr>
          <w:rFonts w:ascii="LiaSourceSansPro" w:hAnsi="LiaSourceSansPro"/>
          <w:color w:val="4B4B4B"/>
          <w:sz w:val="23"/>
          <w:szCs w:val="23"/>
        </w:rPr>
        <w:t>eventov</w:t>
      </w:r>
      <w:proofErr w:type="spellEnd"/>
      <w:r w:rsidR="00BB4019">
        <w:rPr>
          <w:rFonts w:ascii="LiaSourceSansPro" w:hAnsi="LiaSourceSansPro"/>
          <w:color w:val="4B4B4B"/>
          <w:sz w:val="23"/>
          <w:szCs w:val="23"/>
        </w:rPr>
        <w:t>.</w:t>
      </w:r>
    </w:p>
    <w:p w14:paraId="75C1206F" w14:textId="0F0715B9" w:rsidR="000D01DC" w:rsidRDefault="000D01DC" w:rsidP="000D01DC">
      <w:pPr>
        <w:pStyle w:val="lia-paragraph"/>
        <w:spacing w:before="0" w:beforeAutospacing="0" w:after="0" w:afterAutospacing="0"/>
        <w:rPr>
          <w:rFonts w:ascii="LiaSourceSansPro" w:hAnsi="LiaSourceSansPro"/>
          <w:color w:val="4B4B4B"/>
          <w:sz w:val="23"/>
          <w:szCs w:val="23"/>
        </w:rPr>
      </w:pPr>
      <w:r>
        <w:rPr>
          <w:rStyle w:val="Krepko"/>
          <w:rFonts w:ascii="LiaSourceSansPro" w:hAnsi="LiaSourceSansPro"/>
          <w:color w:val="4B4B4B"/>
          <w:sz w:val="23"/>
          <w:szCs w:val="23"/>
        </w:rPr>
        <w:t>Zakaj je drugačna:</w:t>
      </w:r>
      <w:r>
        <w:rPr>
          <w:rFonts w:ascii="LiaSourceSansPro" w:hAnsi="LiaSourceSansPro"/>
          <w:color w:val="4B4B4B"/>
          <w:sz w:val="23"/>
          <w:szCs w:val="23"/>
        </w:rPr>
        <w:t> </w:t>
      </w:r>
      <w:r w:rsidR="00BB4019">
        <w:rPr>
          <w:rFonts w:ascii="LiaSourceSansPro" w:hAnsi="LiaSourceSansPro"/>
          <w:color w:val="4B4B4B"/>
          <w:sz w:val="23"/>
          <w:szCs w:val="23"/>
        </w:rPr>
        <w:t xml:space="preserve">Za razliko od drugih aplikacij omogoča možnost turnirjev ter </w:t>
      </w:r>
      <w:proofErr w:type="spellStart"/>
      <w:r w:rsidR="00BB4019">
        <w:rPr>
          <w:rFonts w:ascii="LiaSourceSansPro" w:hAnsi="LiaSourceSansPro"/>
          <w:color w:val="4B4B4B"/>
          <w:sz w:val="23"/>
          <w:szCs w:val="23"/>
        </w:rPr>
        <w:t>eventov</w:t>
      </w:r>
      <w:proofErr w:type="spellEnd"/>
      <w:r w:rsidR="00BB4019">
        <w:rPr>
          <w:rFonts w:ascii="LiaSourceSansPro" w:hAnsi="LiaSourceSansPro"/>
          <w:color w:val="4B4B4B"/>
          <w:sz w:val="23"/>
          <w:szCs w:val="23"/>
        </w:rPr>
        <w:t>, ki pred tem v Sloveniji sploh ni obstajala. Povezovala bo tudi ljudi različnih starosti, z istimi interesi.</w:t>
      </w:r>
    </w:p>
    <w:p w14:paraId="1DD91481" w14:textId="2BF4587B" w:rsidR="00BB4019" w:rsidRDefault="00BB4019" w:rsidP="000D01DC">
      <w:pPr>
        <w:pStyle w:val="lia-paragraph"/>
        <w:spacing w:before="0" w:beforeAutospacing="0" w:after="0" w:afterAutospacing="0"/>
        <w:rPr>
          <w:rFonts w:ascii="LiaSourceSansPro" w:hAnsi="LiaSourceSansPro"/>
          <w:color w:val="4B4B4B"/>
          <w:sz w:val="23"/>
          <w:szCs w:val="23"/>
        </w:rPr>
      </w:pPr>
    </w:p>
    <w:p w14:paraId="3E8FC2A5" w14:textId="77777777" w:rsidR="00BB4019" w:rsidRPr="00BB4019" w:rsidRDefault="00BB4019" w:rsidP="00BB4019">
      <w:p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BB4019"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  <w:t>Velikost trga:</w:t>
      </w:r>
    </w:p>
    <w:p w14:paraId="2C2B1CB1" w14:textId="7F5377A5" w:rsidR="00BB4019" w:rsidRPr="00BB4019" w:rsidRDefault="00BB4019" w:rsidP="00BB4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BB4019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V Sloveniji </w:t>
      </w:r>
      <w:r w:rsidR="00D94A20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je </w:t>
      </w:r>
      <w:r w:rsidRPr="00BB4019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približno </w:t>
      </w: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30-40</w:t>
      </w:r>
      <w:r w:rsidRPr="00BB4019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% </w:t>
      </w:r>
      <w:r w:rsidR="00D94A20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mladoletnikov in odraslih redno aktivnih.</w:t>
      </w:r>
    </w:p>
    <w:p w14:paraId="443764C2" w14:textId="355B4904" w:rsidR="00D94A20" w:rsidRDefault="00D94A20" w:rsidP="00BB4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Sklepava, da približno 20% teh ljudi obiskuje igrišča.</w:t>
      </w:r>
    </w:p>
    <w:p w14:paraId="21F318DC" w14:textId="67BFAEFC" w:rsidR="00BB4019" w:rsidRDefault="00BB4019" w:rsidP="00BB4019">
      <w:pPr>
        <w:spacing w:after="0" w:line="240" w:lineRule="auto"/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</w:pPr>
      <w:r w:rsidRPr="00BB4019"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  <w:t>Konkurenčna analiza: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4A20" w14:paraId="579A81DF" w14:textId="77777777" w:rsidTr="00D94A20">
        <w:tc>
          <w:tcPr>
            <w:tcW w:w="2265" w:type="dxa"/>
          </w:tcPr>
          <w:p w14:paraId="2425DE5C" w14:textId="1E21D372" w:rsidR="00D94A20" w:rsidRPr="00D94A20" w:rsidRDefault="00D94A20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D94A20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Ime</w:t>
            </w:r>
          </w:p>
        </w:tc>
        <w:tc>
          <w:tcPr>
            <w:tcW w:w="2265" w:type="dxa"/>
          </w:tcPr>
          <w:p w14:paraId="5BD03D6C" w14:textId="16C69961" w:rsidR="00D94A20" w:rsidRPr="00D94A20" w:rsidRDefault="00D94A20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D94A20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Prednosti</w:t>
            </w:r>
          </w:p>
        </w:tc>
        <w:tc>
          <w:tcPr>
            <w:tcW w:w="2266" w:type="dxa"/>
          </w:tcPr>
          <w:p w14:paraId="5ED13572" w14:textId="793FA313" w:rsidR="00D94A20" w:rsidRPr="00D94A20" w:rsidRDefault="00D94A20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D94A20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Slabosti</w:t>
            </w:r>
          </w:p>
        </w:tc>
        <w:tc>
          <w:tcPr>
            <w:tcW w:w="2266" w:type="dxa"/>
          </w:tcPr>
          <w:p w14:paraId="1AFC2EC2" w14:textId="60080BC4" w:rsidR="00D94A20" w:rsidRPr="00D94A20" w:rsidRDefault="00D94A20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D94A20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Naša razlika</w:t>
            </w:r>
          </w:p>
        </w:tc>
      </w:tr>
      <w:tr w:rsidR="00D94A20" w14:paraId="790B8F84" w14:textId="77777777" w:rsidTr="00D94A20">
        <w:tc>
          <w:tcPr>
            <w:tcW w:w="2265" w:type="dxa"/>
          </w:tcPr>
          <w:p w14:paraId="7E11192A" w14:textId="06D3C3F0" w:rsidR="00D94A20" w:rsidRDefault="00D94A20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MEETUP</w:t>
            </w:r>
          </w:p>
        </w:tc>
        <w:tc>
          <w:tcPr>
            <w:tcW w:w="2265" w:type="dxa"/>
          </w:tcPr>
          <w:p w14:paraId="70FF519F" w14:textId="0E695AF8" w:rsidR="00D94A20" w:rsidRDefault="00D94A20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Omogoča večjo izbiro dogodkov ne samo športnih</w:t>
            </w:r>
          </w:p>
        </w:tc>
        <w:tc>
          <w:tcPr>
            <w:tcW w:w="2266" w:type="dxa"/>
          </w:tcPr>
          <w:p w14:paraId="0DEB3A39" w14:textId="6CA476C6" w:rsidR="00D94A20" w:rsidRDefault="00D94A20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Aplikacija sama ne omogoča dogodkov v realnem času, bolj je osredotočena na ustvarjanje skupnosti</w:t>
            </w:r>
          </w:p>
        </w:tc>
        <w:tc>
          <w:tcPr>
            <w:tcW w:w="2266" w:type="dxa"/>
          </w:tcPr>
          <w:p w14:paraId="1425611F" w14:textId="626FBFB7" w:rsidR="00D94A20" w:rsidRDefault="00D94A20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 xml:space="preserve">Bolj se osredotočamo na športne aktivnosti in omogočamo </w:t>
            </w:r>
            <w:r w:rsidR="008A41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ustvarjanje dogodkov v realnem času</w:t>
            </w:r>
          </w:p>
        </w:tc>
      </w:tr>
    </w:tbl>
    <w:p w14:paraId="3FA8E106" w14:textId="741AC471" w:rsidR="00D94A20" w:rsidRDefault="00D94A20" w:rsidP="00BB4019">
      <w:pPr>
        <w:spacing w:after="0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A413F" w14:paraId="7EAA1534" w14:textId="77777777" w:rsidTr="008A413F">
        <w:tc>
          <w:tcPr>
            <w:tcW w:w="4531" w:type="dxa"/>
          </w:tcPr>
          <w:p w14:paraId="399218E7" w14:textId="29409E66" w:rsidR="008A413F" w:rsidRPr="008A413F" w:rsidRDefault="008A413F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8A413F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Prednosti</w:t>
            </w:r>
          </w:p>
        </w:tc>
        <w:tc>
          <w:tcPr>
            <w:tcW w:w="4531" w:type="dxa"/>
          </w:tcPr>
          <w:p w14:paraId="34D230E2" w14:textId="3D136F7F" w:rsidR="008A413F" w:rsidRPr="008A413F" w:rsidRDefault="008A413F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8A413F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Slabosti</w:t>
            </w:r>
          </w:p>
        </w:tc>
      </w:tr>
      <w:tr w:rsidR="008A413F" w14:paraId="3DD0F89E" w14:textId="77777777" w:rsidTr="008A413F">
        <w:tc>
          <w:tcPr>
            <w:tcW w:w="4531" w:type="dxa"/>
          </w:tcPr>
          <w:p w14:paraId="002D19DD" w14:textId="77777777" w:rsidR="008A413F" w:rsidRDefault="008A413F" w:rsidP="008A413F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-</w:t>
            </w:r>
            <w:r w:rsidRPr="008A41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Pomankanje takih platform</w:t>
            </w:r>
          </w:p>
          <w:p w14:paraId="0B5730DD" w14:textId="6561E1F4" w:rsidR="008A413F" w:rsidRPr="000C223F" w:rsidRDefault="008A413F" w:rsidP="008A413F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-Ljudje iščejo druge za igranje športov na      igriščih</w:t>
            </w:r>
            <w:r w:rsidR="000C22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 xml:space="preserve"> </w:t>
            </w:r>
            <w:r w:rsidR="000C22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>(</w:t>
            </w:r>
            <w:proofErr w:type="spellStart"/>
            <w:r w:rsidR="000C22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>te</w:t>
            </w:r>
            <w:r w:rsidR="000C22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žko</w:t>
            </w:r>
            <w:proofErr w:type="spellEnd"/>
            <w:r w:rsidR="000C22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 xml:space="preserve"> najdejo</w:t>
            </w:r>
            <w:r w:rsidR="000C223F"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>)</w:t>
            </w:r>
          </w:p>
          <w:p w14:paraId="5DFC7A8D" w14:textId="4CC3B72E" w:rsidR="008A413F" w:rsidRPr="008A413F" w:rsidRDefault="008A413F" w:rsidP="008A413F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</w:p>
        </w:tc>
        <w:tc>
          <w:tcPr>
            <w:tcW w:w="4531" w:type="dxa"/>
          </w:tcPr>
          <w:p w14:paraId="0C9C4076" w14:textId="77777777" w:rsidR="008A413F" w:rsidRDefault="008A41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 xml:space="preserve">-Manjši začetni </w:t>
            </w:r>
            <w:proofErr w:type="spellStart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community</w:t>
            </w:r>
            <w:proofErr w:type="spellEnd"/>
          </w:p>
          <w:p w14:paraId="39F66D6E" w14:textId="1BFF2CA5" w:rsidR="008A413F" w:rsidRDefault="008A41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-V nekaterih krajih ni primernih igrišč</w:t>
            </w:r>
          </w:p>
        </w:tc>
      </w:tr>
      <w:tr w:rsidR="008A413F" w14:paraId="64D6182A" w14:textId="77777777" w:rsidTr="008A413F">
        <w:tc>
          <w:tcPr>
            <w:tcW w:w="4531" w:type="dxa"/>
          </w:tcPr>
          <w:p w14:paraId="14DE8F35" w14:textId="084090B5" w:rsidR="008A413F" w:rsidRPr="008A413F" w:rsidRDefault="008A413F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8A413F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Priložnosti</w:t>
            </w:r>
          </w:p>
        </w:tc>
        <w:tc>
          <w:tcPr>
            <w:tcW w:w="4531" w:type="dxa"/>
          </w:tcPr>
          <w:p w14:paraId="39289482" w14:textId="7E18D731" w:rsidR="008A413F" w:rsidRPr="008A413F" w:rsidRDefault="008A413F" w:rsidP="00BB4019">
            <w:pPr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</w:pPr>
            <w:r w:rsidRPr="008A413F">
              <w:rPr>
                <w:rFonts w:ascii="LiaSourceSansPro" w:eastAsia="Times New Roman" w:hAnsi="LiaSourceSansPro" w:cs="Times New Roman"/>
                <w:b/>
                <w:bCs/>
                <w:color w:val="4B4B4B"/>
                <w:sz w:val="23"/>
                <w:szCs w:val="23"/>
                <w:lang w:eastAsia="sl-SI"/>
              </w:rPr>
              <w:t>Grožnje</w:t>
            </w:r>
          </w:p>
        </w:tc>
      </w:tr>
      <w:tr w:rsidR="008A413F" w14:paraId="5F603E7F" w14:textId="77777777" w:rsidTr="008A413F">
        <w:tc>
          <w:tcPr>
            <w:tcW w:w="4531" w:type="dxa"/>
          </w:tcPr>
          <w:p w14:paraId="6048CE41" w14:textId="77777777" w:rsidR="008A413F" w:rsidRDefault="008A41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-Razširitev v druge države</w:t>
            </w:r>
          </w:p>
          <w:p w14:paraId="007D1743" w14:textId="77777777" w:rsidR="008A413F" w:rsidRDefault="008A41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 xml:space="preserve">-sodelovanje z </w:t>
            </w:r>
            <w:proofErr w:type="spellStart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event</w:t>
            </w:r>
            <w:proofErr w:type="spellEnd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-organizatorji</w:t>
            </w:r>
          </w:p>
          <w:p w14:paraId="0469F467" w14:textId="69891660" w:rsidR="000C223F" w:rsidRPr="000C223F" w:rsidRDefault="000C22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>- Raz</w:t>
            </w: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širitev na druge športe</w:t>
            </w:r>
          </w:p>
        </w:tc>
        <w:tc>
          <w:tcPr>
            <w:tcW w:w="4531" w:type="dxa"/>
          </w:tcPr>
          <w:p w14:paraId="6F3038DD" w14:textId="77777777" w:rsidR="008A413F" w:rsidRDefault="008A41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-Uporaba ljudi za napačne namene</w:t>
            </w:r>
          </w:p>
          <w:p w14:paraId="0F6078DD" w14:textId="45F2C9B0" w:rsidR="000C223F" w:rsidRPr="000C223F" w:rsidRDefault="000C22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 xml:space="preserve">- </w:t>
            </w:r>
            <w:proofErr w:type="spellStart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>Skrbi</w:t>
            </w:r>
            <w:proofErr w:type="spellEnd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val="en-US" w:eastAsia="sl-SI"/>
              </w:rPr>
              <w:t xml:space="preserve"> star</w:t>
            </w:r>
            <w:proofErr w:type="spellStart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>šev</w:t>
            </w:r>
            <w:proofErr w:type="spellEnd"/>
            <w: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  <w:t xml:space="preserve"> zaradi varnosti mlajših</w:t>
            </w:r>
          </w:p>
          <w:p w14:paraId="6FD1D188" w14:textId="2671DE65" w:rsidR="000C223F" w:rsidRPr="008A413F" w:rsidRDefault="000C223F" w:rsidP="00BB4019">
            <w:pPr>
              <w:rPr>
                <w:rFonts w:ascii="LiaSourceSansPro" w:eastAsia="Times New Roman" w:hAnsi="LiaSourceSansPro" w:cs="Times New Roman"/>
                <w:color w:val="4B4B4B"/>
                <w:sz w:val="23"/>
                <w:szCs w:val="23"/>
                <w:lang w:eastAsia="sl-SI"/>
              </w:rPr>
            </w:pPr>
          </w:p>
        </w:tc>
      </w:tr>
    </w:tbl>
    <w:p w14:paraId="41EF11A5" w14:textId="77777777" w:rsidR="008A413F" w:rsidRPr="00BB4019" w:rsidRDefault="008A413F" w:rsidP="00BB4019">
      <w:pPr>
        <w:spacing w:after="0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</w:p>
    <w:p w14:paraId="12A18D7A" w14:textId="77777777" w:rsidR="008A413F" w:rsidRDefault="008A413F">
      <w:pPr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  <w:br w:type="page"/>
      </w:r>
    </w:p>
    <w:p w14:paraId="0F0943A4" w14:textId="4B7996F8" w:rsidR="008A413F" w:rsidRPr="008A413F" w:rsidRDefault="008A413F" w:rsidP="008A413F">
      <w:p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  <w:lastRenderedPageBreak/>
        <w:t>Viri prihodkov:</w:t>
      </w:r>
    </w:p>
    <w:p w14:paraId="7174AA7D" w14:textId="77777777" w:rsidR="008A413F" w:rsidRPr="008A413F" w:rsidRDefault="008A413F" w:rsidP="008A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Osnovna aplikacija je brezplačna</w:t>
      </w:r>
    </w:p>
    <w:p w14:paraId="23BD7B4B" w14:textId="0600D06F" w:rsidR="008A413F" w:rsidRPr="008A413F" w:rsidRDefault="008A413F" w:rsidP="008A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Premium članstvo (</w:t>
      </w:r>
      <w:r w:rsidR="0000112B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2</w:t>
      </w:r>
      <w:r w:rsidRPr="008A413F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€/mesec): </w:t>
      </w: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Omogočala bo posebne funkcije, ki jih bova dodala kasneje</w:t>
      </w:r>
    </w:p>
    <w:p w14:paraId="372FA5B8" w14:textId="2EFA33FF" w:rsidR="008A413F" w:rsidRDefault="008A413F" w:rsidP="008A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Provizija od organiziranih turnirjev </w:t>
      </w:r>
      <w:r w:rsidR="0000112B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in </w:t>
      </w:r>
      <w:proofErr w:type="spellStart"/>
      <w:r w:rsidR="0000112B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eventov</w:t>
      </w:r>
      <w:proofErr w:type="spellEnd"/>
      <w:r w:rsidRPr="008A413F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(10% prijavnin)</w:t>
      </w:r>
    </w:p>
    <w:p w14:paraId="4FA99A2C" w14:textId="2A88E3D5" w:rsidR="0000112B" w:rsidRDefault="0000112B" w:rsidP="008A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Reklame v aplikaciji</w:t>
      </w:r>
    </w:p>
    <w:p w14:paraId="60993E77" w14:textId="5BC78ECC" w:rsidR="0000112B" w:rsidRPr="008A413F" w:rsidRDefault="0000112B" w:rsidP="008A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Reklame na </w:t>
      </w:r>
      <w:proofErr w:type="spellStart"/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eventih</w:t>
      </w:r>
      <w:proofErr w:type="spellEnd"/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 in turnirjih</w:t>
      </w:r>
    </w:p>
    <w:p w14:paraId="112CA162" w14:textId="77777777" w:rsidR="008A413F" w:rsidRPr="008A413F" w:rsidRDefault="008A413F" w:rsidP="008A413F">
      <w:p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  <w:t>Struktura stroškov:</w:t>
      </w:r>
    </w:p>
    <w:p w14:paraId="167197DE" w14:textId="77BC061F" w:rsidR="008A413F" w:rsidRDefault="008A413F" w:rsidP="008A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Marketing: 300€ mesečno (predvsem spletno oglaševanje in promocijski dogodki)</w:t>
      </w:r>
    </w:p>
    <w:p w14:paraId="0343BB57" w14:textId="178D9806" w:rsidR="0000112B" w:rsidRDefault="001A4C24" w:rsidP="008A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Tehnična podpora 200€ mesečno</w:t>
      </w:r>
    </w:p>
    <w:p w14:paraId="325D67A8" w14:textId="71560274" w:rsidR="000C223F" w:rsidRPr="008A413F" w:rsidRDefault="000C223F" w:rsidP="008A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Približno 150</w:t>
      </w: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€</w:t>
      </w: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 na mesec za </w:t>
      </w:r>
      <w:proofErr w:type="spellStart"/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hosting</w:t>
      </w:r>
      <w:proofErr w:type="spellEnd"/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 xml:space="preserve"> </w:t>
      </w:r>
      <w:r>
        <w:rPr>
          <w:rFonts w:ascii="LiaSourceSansPro" w:eastAsia="Times New Roman" w:hAnsi="LiaSourceSansPro" w:cs="Times New Roman"/>
          <w:color w:val="4B4B4B"/>
          <w:sz w:val="23"/>
          <w:szCs w:val="23"/>
          <w:lang w:val="en-US" w:eastAsia="sl-SI"/>
        </w:rPr>
        <w:t>(</w:t>
      </w:r>
      <w:proofErr w:type="spellStart"/>
      <w:r>
        <w:rPr>
          <w:rFonts w:ascii="LiaSourceSansPro" w:eastAsia="Times New Roman" w:hAnsi="LiaSourceSansPro" w:cs="Times New Roman"/>
          <w:color w:val="4B4B4B"/>
          <w:sz w:val="23"/>
          <w:szCs w:val="23"/>
          <w:lang w:val="en-US" w:eastAsia="sl-SI"/>
        </w:rPr>
        <w:t>cena</w:t>
      </w:r>
      <w:proofErr w:type="spellEnd"/>
      <w:r>
        <w:rPr>
          <w:rFonts w:ascii="LiaSourceSansPro" w:eastAsia="Times New Roman" w:hAnsi="LiaSourceSansPro" w:cs="Times New Roman"/>
          <w:color w:val="4B4B4B"/>
          <w:sz w:val="23"/>
          <w:szCs w:val="23"/>
          <w:lang w:val="en-US" w:eastAsia="sl-SI"/>
        </w:rPr>
        <w:t xml:space="preserve"> je </w:t>
      </w:r>
      <w:proofErr w:type="spellStart"/>
      <w:r>
        <w:rPr>
          <w:rFonts w:ascii="LiaSourceSansPro" w:eastAsia="Times New Roman" w:hAnsi="LiaSourceSansPro" w:cs="Times New Roman"/>
          <w:color w:val="4B4B4B"/>
          <w:sz w:val="23"/>
          <w:szCs w:val="23"/>
          <w:lang w:val="en-US" w:eastAsia="sl-SI"/>
        </w:rPr>
        <w:t>lahko</w:t>
      </w:r>
      <w:proofErr w:type="spellEnd"/>
      <w:r>
        <w:rPr>
          <w:rFonts w:ascii="LiaSourceSansPro" w:eastAsia="Times New Roman" w:hAnsi="LiaSourceSansPro" w:cs="Times New Roman"/>
          <w:color w:val="4B4B4B"/>
          <w:sz w:val="23"/>
          <w:szCs w:val="23"/>
          <w:lang w:val="en-US" w:eastAsia="sl-SI"/>
        </w:rPr>
        <w:t xml:space="preserve"> vi</w:t>
      </w:r>
      <w:proofErr w:type="spellStart"/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šja</w:t>
      </w:r>
      <w:proofErr w:type="spellEnd"/>
      <w:r>
        <w:rPr>
          <w:rFonts w:ascii="LiaSourceSansPro" w:eastAsia="Times New Roman" w:hAnsi="LiaSourceSansPro" w:cs="Times New Roman"/>
          <w:color w:val="4B4B4B"/>
          <w:sz w:val="23"/>
          <w:szCs w:val="23"/>
          <w:lang w:val="en-US" w:eastAsia="sl-SI"/>
        </w:rPr>
        <w:t>)</w:t>
      </w:r>
    </w:p>
    <w:p w14:paraId="1EDBDD8B" w14:textId="77777777" w:rsidR="008A413F" w:rsidRPr="008A413F" w:rsidRDefault="008A413F" w:rsidP="008A413F">
      <w:p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8A413F">
        <w:rPr>
          <w:rFonts w:ascii="LiaSourceSansPro" w:eastAsia="Times New Roman" w:hAnsi="LiaSourceSansPro" w:cs="Times New Roman"/>
          <w:b/>
          <w:bCs/>
          <w:color w:val="4B4B4B"/>
          <w:sz w:val="23"/>
          <w:szCs w:val="23"/>
          <w:lang w:eastAsia="sl-SI"/>
        </w:rPr>
        <w:t>Strategija pridobivanja uporabnikov:</w:t>
      </w:r>
    </w:p>
    <w:p w14:paraId="57F32253" w14:textId="4C585741" w:rsidR="00BB4019" w:rsidRDefault="001A4C24" w:rsidP="001A4C24">
      <w:pPr>
        <w:pStyle w:val="Odstavekseznama"/>
        <w:numPr>
          <w:ilvl w:val="1"/>
          <w:numId w:val="4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 w:rsidRPr="001A4C24"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Organizacija turnirjev na 5 najbolj obiskanih igrišč v Sloveniji</w:t>
      </w:r>
    </w:p>
    <w:p w14:paraId="2C822F41" w14:textId="77777777" w:rsidR="001A4C24" w:rsidRDefault="001A4C24" w:rsidP="001A4C24">
      <w:pPr>
        <w:pStyle w:val="Odstavekseznama"/>
        <w:spacing w:before="100" w:beforeAutospacing="1" w:after="100" w:afterAutospacing="1" w:line="240" w:lineRule="auto"/>
        <w:ind w:left="1440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</w:p>
    <w:p w14:paraId="6302EDC5" w14:textId="4AF22A80" w:rsidR="001A4C24" w:rsidRPr="001A4C24" w:rsidRDefault="001A4C24" w:rsidP="001A4C24">
      <w:pPr>
        <w:pStyle w:val="Odstavekseznama"/>
        <w:numPr>
          <w:ilvl w:val="1"/>
          <w:numId w:val="4"/>
        </w:numPr>
        <w:spacing w:before="100" w:beforeAutospacing="1" w:after="100" w:afterAutospacing="1" w:line="240" w:lineRule="auto"/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</w:pPr>
      <w:r>
        <w:rPr>
          <w:rFonts w:ascii="LiaSourceSansPro" w:eastAsia="Times New Roman" w:hAnsi="LiaSourceSansPro" w:cs="Times New Roman"/>
          <w:color w:val="4B4B4B"/>
          <w:sz w:val="23"/>
          <w:szCs w:val="23"/>
          <w:lang w:eastAsia="sl-SI"/>
        </w:rPr>
        <w:t>Družbena omrežja in oglaševanja po srednjih šolah, kjer je največ ljudi, ki se ukvarjajo z športi</w:t>
      </w:r>
    </w:p>
    <w:p w14:paraId="145FF8F8" w14:textId="77777777" w:rsidR="000C223F" w:rsidRPr="000C223F" w:rsidRDefault="000C223F" w:rsidP="000C223F">
      <w:pPr>
        <w:pStyle w:val="Odstavekseznama"/>
        <w:rPr>
          <w:lang w:val="en-US"/>
        </w:rPr>
      </w:pPr>
    </w:p>
    <w:p w14:paraId="1D1E285B" w14:textId="2984E967" w:rsidR="007A4572" w:rsidRPr="000C223F" w:rsidRDefault="000C223F" w:rsidP="000C223F">
      <w:pPr>
        <w:pStyle w:val="Odstavekseznam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Promoveranje</w:t>
      </w:r>
      <w:proofErr w:type="spellEnd"/>
      <w:r>
        <w:rPr>
          <w:lang w:val="en-US"/>
        </w:rPr>
        <w:t xml:space="preserve"> po ko</w:t>
      </w:r>
      <w:proofErr w:type="spellStart"/>
      <w:r>
        <w:t>šarkarskih</w:t>
      </w:r>
      <w:proofErr w:type="spellEnd"/>
      <w:r>
        <w:t xml:space="preserve"> klubih, taborih, tekmah in v športnih društvih</w:t>
      </w:r>
    </w:p>
    <w:sectPr w:rsidR="007A4572" w:rsidRPr="000C2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aSourceSansPr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1FA"/>
    <w:multiLevelType w:val="multilevel"/>
    <w:tmpl w:val="500C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F143D"/>
    <w:multiLevelType w:val="hybridMultilevel"/>
    <w:tmpl w:val="2CE0FBAE"/>
    <w:lvl w:ilvl="0" w:tplc="B6986B20">
      <w:numFmt w:val="bullet"/>
      <w:lvlText w:val="-"/>
      <w:lvlJc w:val="left"/>
      <w:pPr>
        <w:ind w:left="720" w:hanging="360"/>
      </w:pPr>
      <w:rPr>
        <w:rFonts w:ascii="LiaSourceSansPro" w:eastAsia="Times New Roman" w:hAnsi="LiaSourceSansPro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62C9"/>
    <w:multiLevelType w:val="multilevel"/>
    <w:tmpl w:val="F61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5416E"/>
    <w:multiLevelType w:val="multilevel"/>
    <w:tmpl w:val="AA1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2563"/>
    <w:multiLevelType w:val="multilevel"/>
    <w:tmpl w:val="F6A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LiaSourceSansPro" w:eastAsia="Times New Roman" w:hAnsi="LiaSourceSans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46841">
    <w:abstractNumId w:val="3"/>
  </w:num>
  <w:num w:numId="2" w16cid:durableId="1637176807">
    <w:abstractNumId w:val="1"/>
  </w:num>
  <w:num w:numId="3" w16cid:durableId="671956964">
    <w:abstractNumId w:val="2"/>
  </w:num>
  <w:num w:numId="4" w16cid:durableId="1612781346">
    <w:abstractNumId w:val="4"/>
  </w:num>
  <w:num w:numId="5" w16cid:durableId="1532182560">
    <w:abstractNumId w:val="0"/>
    <w:lvlOverride w:ilvl="0">
      <w:startOverride w:val="1"/>
    </w:lvlOverride>
  </w:num>
  <w:num w:numId="6" w16cid:durableId="233853179">
    <w:abstractNumId w:val="0"/>
    <w:lvlOverride w:ilvl="0">
      <w:startOverride w:val="2"/>
    </w:lvlOverride>
  </w:num>
  <w:num w:numId="7" w16cid:durableId="131695035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DC"/>
    <w:rsid w:val="0000112B"/>
    <w:rsid w:val="000C223F"/>
    <w:rsid w:val="000D01DC"/>
    <w:rsid w:val="001A4C24"/>
    <w:rsid w:val="00330871"/>
    <w:rsid w:val="005B72A0"/>
    <w:rsid w:val="007A4572"/>
    <w:rsid w:val="008A413F"/>
    <w:rsid w:val="00BB4019"/>
    <w:rsid w:val="00D94A20"/>
    <w:rsid w:val="00F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8627"/>
  <w15:chartTrackingRefBased/>
  <w15:docId w15:val="{79D0122D-6B03-42EC-B812-C627AF90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lia-paragraph">
    <w:name w:val="lia-paragraph"/>
    <w:basedOn w:val="Navaden"/>
    <w:rsid w:val="000D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0D01DC"/>
    <w:rPr>
      <w:b/>
      <w:bCs/>
    </w:rPr>
  </w:style>
  <w:style w:type="table" w:styleId="Tabelamrea">
    <w:name w:val="Table Grid"/>
    <w:basedOn w:val="Navadnatabela"/>
    <w:uiPriority w:val="39"/>
    <w:rsid w:val="00D9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8A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Jan Milkovič</cp:lastModifiedBy>
  <cp:revision>3</cp:revision>
  <dcterms:created xsi:type="dcterms:W3CDTF">2025-04-01T09:32:00Z</dcterms:created>
  <dcterms:modified xsi:type="dcterms:W3CDTF">2025-04-03T20:16:00Z</dcterms:modified>
</cp:coreProperties>
</file>