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Dev log personal</w:t>
      </w:r>
    </w:p>
    <w:p>
      <w:pPr>
        <w:spacing w:after="360"/>
      </w:pPr>
      <w:r>
        <w:rPr>
          <w:rFonts w:ascii="Arial" w:hAnsi="Arial" w:eastAsia="Arial"/>
          <w:b w:val="0"/>
          <w:i w:val="0"/>
          <w:color w:val="777970"/>
          <w:sz w:val="22"/>
        </w:rPr>
        <w:t>Wasted  Entrega 1  Prototype</w:t>
      </w:r>
    </w:p>
    <w:p>
      <w:pPr>
        <w:spacing w:after="280" w:line="276" w:lineRule="auto"/>
      </w:pPr>
      <w:r>
        <w:t>Este documento registra mi aportación a la primera entrega de Wasted, las decisiones que tomé y lo que aprendí durante el trabajo.</w:t>
      </w:r>
    </w:p>
    <w:tbl>
      <w:tblPr>
        <w:tblW w:type="auto" w:w="0"/>
        <w:jc w:val="left"/>
        <w:tblLayout w:type="fixed"/>
        <w:tblLook w:firstColumn="1" w:firstRow="1" w:lastColumn="0" w:lastRow="0" w:noHBand="0" w:noVBand="1" w:val="04A0"/>
      </w:tblPr>
      <w:tblGrid>
        <w:gridCol w:w="4997"/>
        <w:gridCol w:w="4997"/>
      </w:tblGrid>
      <w:tr>
        <w:tc>
          <w:tcPr>
            <w:tcW w:type="dxa" w:w="2232"/>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6F4EE"/>
          </w:tcPr>
          <w:p>
            <w:pPr>
              <w:spacing w:after="0"/>
            </w:pPr>
            <w:r>
              <w:t>Nombre</w:t>
              <w:br/>
              <w:t>Andres Garcia Gonzalez</w:t>
            </w:r>
          </w:p>
        </w:tc>
        <w:tc>
          <w:tcPr>
            <w:tcW w:type="dxa" w:w="8424"/>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pPr>
            <w:r>
              <w:t>Equipo</w:t>
              <w:br/>
              <w:t>Zantiago Vargas Beltran, Andres Garcia Gonzalez y Pedro Chucuan Gerardo</w:t>
            </w:r>
          </w:p>
        </w:tc>
      </w:tr>
      <w:tr>
        <w:tc>
          <w:tcPr>
            <w:tcW w:type="dxa" w:w="2232"/>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6F4EE"/>
          </w:tcPr>
          <w:p>
            <w:pPr>
              <w:spacing w:after="0"/>
            </w:pPr>
            <w:r>
              <w:t>Proyecto</w:t>
              <w:br/>
              <w:t>Wasted</w:t>
            </w:r>
          </w:p>
        </w:tc>
        <w:tc>
          <w:tcPr>
            <w:tcW w:type="dxa" w:w="8424"/>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pPr>
            <w:r>
              <w:t>Entrega</w:t>
              <w:br/>
              <w:t>1 Prototype</w:t>
            </w:r>
          </w:p>
        </w:tc>
      </w:tr>
      <w:tr>
        <w:tc>
          <w:tcPr>
            <w:tcW w:type="dxa" w:w="2232"/>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6F4EE"/>
          </w:tcPr>
          <w:p>
            <w:pPr>
              <w:spacing w:after="0"/>
            </w:pPr>
            <w:r>
              <w:t>Repositorio</w:t>
              <w:br/>
              <w:t>https://github.com/zantiagoup/Wasted</w:t>
            </w:r>
          </w:p>
        </w:tc>
        <w:tc>
          <w:tcPr>
            <w:tcW w:type="dxa" w:w="8424"/>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pPr>
            <w:r>
              <w:t>Fecha</w:t>
              <w:br/>
              <w:t>10 de septiembre de 2026</w:t>
            </w:r>
          </w:p>
        </w:tc>
      </w:tr>
    </w:tbl>
    <w:p>
      <w:pPr>
        <w:pStyle w:val="Heading1"/>
        <w:keepNext/>
        <w:spacing w:before="320" w:after="120"/>
      </w:pPr>
      <w:r>
        <w:rPr>
          <w:rFonts w:ascii="Arial" w:hAnsi="Arial" w:eastAsia="Arial"/>
          <w:b/>
          <w:i w:val="0"/>
          <w:color w:val="20231F"/>
          <w:sz w:val="28"/>
        </w:rPr>
        <w:t>Mi trabajo en esta entrega</w:t>
      </w:r>
    </w:p>
    <w:p>
      <w:pPr>
        <w:spacing w:after="160" w:line="276" w:lineRule="auto"/>
      </w:pPr>
      <w:r>
        <w:t>Mi aportación fue desarrollar una prueba de concepto, o POC, para demostrar que era viable conectar Wasted con la API de Gemini. Trabajé de la mano con Pedro en la elección del modelo y en cómo comunicarnos con él desde la aplicación. El objetivo de la prueba fue enviar una consulta y recibir una respuesta del modelo; la integración con las cinco pantallas del prototipo corresponde a una etapa posterior.</w:t>
      </w:r>
    </w:p>
    <w:p>
      <w:pPr>
        <w:pStyle w:val="Heading1"/>
        <w:keepNext/>
        <w:spacing w:before="320" w:after="120"/>
      </w:pPr>
      <w:r>
        <w:rPr>
          <w:rFonts w:ascii="Arial" w:hAnsi="Arial" w:eastAsia="Arial"/>
          <w:b/>
          <w:i w:val="0"/>
          <w:color w:val="20231F"/>
          <w:sz w:val="28"/>
        </w:rPr>
        <w:t>Registro de trabajo</w:t>
      </w:r>
    </w:p>
    <w:tbl>
      <w:tblPr>
        <w:tblW w:type="auto" w:w="0"/>
        <w:jc w:val="left"/>
        <w:tblLayout w:type="fixed"/>
        <w:tblLook w:firstColumn="1" w:firstRow="1" w:lastColumn="0" w:lastRow="0" w:noHBand="0" w:noVBand="1" w:val="04A0"/>
      </w:tblPr>
      <w:tblGrid>
        <w:gridCol w:w="648"/>
        <w:gridCol w:w="3096"/>
        <w:gridCol w:w="2952"/>
        <w:gridCol w:w="3298"/>
      </w:tblGrid>
      <w:tr>
        <w:trPr>
          <w:tblHeader w:val="true"/>
        </w:trPr>
        <w:tc>
          <w:tcPr>
            <w:tcW w:type="dxa" w:w="64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20231F"/>
          </w:tcPr>
          <w:p>
            <w:pPr>
              <w:spacing w:after="0"/>
            </w:pPr>
            <w:r/>
            <w:r>
              <w:rPr>
                <w:rFonts w:ascii="Arial" w:hAnsi="Arial" w:eastAsia="Arial"/>
                <w:b/>
                <w:i w:val="0"/>
                <w:color w:val="FFFFFF"/>
                <w:sz w:val="18"/>
              </w:rPr>
              <w:t>Día</w:t>
            </w:r>
          </w:p>
        </w:tc>
        <w:tc>
          <w:tcPr>
            <w:tcW w:type="dxa" w:w="3096"/>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20231F"/>
          </w:tcPr>
          <w:p>
            <w:pPr>
              <w:spacing w:after="0"/>
            </w:pPr>
            <w:r/>
            <w:r>
              <w:rPr>
                <w:rFonts w:ascii="Arial" w:hAnsi="Arial" w:eastAsia="Arial"/>
                <w:b/>
                <w:i w:val="0"/>
                <w:color w:val="FFFFFF"/>
                <w:sz w:val="18"/>
              </w:rPr>
              <w:t>Qué hice</w:t>
            </w:r>
          </w:p>
        </w:tc>
        <w:tc>
          <w:tcPr>
            <w:tcW w:type="dxa" w:w="2952"/>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20231F"/>
          </w:tcPr>
          <w:p>
            <w:pPr>
              <w:spacing w:after="0"/>
            </w:pPr>
            <w:r/>
            <w:r>
              <w:rPr>
                <w:rFonts w:ascii="Arial" w:hAnsi="Arial" w:eastAsia="Arial"/>
                <w:b/>
                <w:i w:val="0"/>
                <w:color w:val="FFFFFF"/>
                <w:sz w:val="18"/>
              </w:rPr>
              <w:t>Qué problema apareció</w:t>
            </w:r>
          </w:p>
        </w:tc>
        <w:tc>
          <w:tcPr>
            <w:tcW w:type="dxa" w:w="329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20231F"/>
          </w:tcPr>
          <w:p>
            <w:pPr>
              <w:spacing w:after="0"/>
            </w:pPr>
            <w:r/>
            <w:r>
              <w:rPr>
                <w:rFonts w:ascii="Arial" w:hAnsi="Arial" w:eastAsia="Arial"/>
                <w:b/>
                <w:i w:val="0"/>
                <w:color w:val="FFFFFF"/>
                <w:sz w:val="18"/>
              </w:rPr>
              <w:t>Cómo lo resolví y qué quedó</w:t>
            </w:r>
          </w:p>
        </w:tc>
      </w:tr>
      <w:tr>
        <w:tc>
          <w:tcPr>
            <w:tcW w:type="dxa" w:w="64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center"/>
            </w:pPr>
            <w:r>
              <w:t>1</w:t>
            </w:r>
          </w:p>
        </w:tc>
        <w:tc>
          <w:tcPr>
            <w:tcW w:type="dxa" w:w="3096"/>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Revisé con Pedro las opciones de modelo y el alcance de la POC.</w:t>
            </w:r>
          </w:p>
        </w:tc>
        <w:tc>
          <w:tcPr>
            <w:tcW w:type="dxa" w:w="2952"/>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Necesitábamos una prueba concreta para evaluar la conexión sin desarrollar todo el backend.</w:t>
            </w:r>
          </w:p>
        </w:tc>
        <w:tc>
          <w:tcPr>
            <w:tcW w:type="dxa" w:w="329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Acotamos la prueba al envío de una consulta y la recepción de una respuesta de Gemini.</w:t>
            </w:r>
          </w:p>
        </w:tc>
      </w:tr>
      <w:tr>
        <w:tc>
          <w:tcPr>
            <w:tcW w:type="dxa" w:w="64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7F7F3"/>
          </w:tcPr>
          <w:p>
            <w:pPr>
              <w:spacing w:after="0" w:line="259" w:lineRule="auto"/>
              <w:jc w:val="center"/>
            </w:pPr>
            <w:r>
              <w:t>2</w:t>
            </w:r>
          </w:p>
        </w:tc>
        <w:tc>
          <w:tcPr>
            <w:tcW w:type="dxa" w:w="3096"/>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7F7F3"/>
          </w:tcPr>
          <w:p>
            <w:pPr>
              <w:spacing w:after="0" w:line="259" w:lineRule="auto"/>
              <w:jc w:val="left"/>
            </w:pPr>
            <w:r>
              <w:t>Preparé el acceso a la API y desarrollé la conexión.</w:t>
            </w:r>
          </w:p>
        </w:tc>
        <w:tc>
          <w:tcPr>
            <w:tcW w:type="dxa" w:w="2952"/>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7F7F3"/>
          </w:tcPr>
          <w:p>
            <w:pPr>
              <w:spacing w:after="0" w:line="259" w:lineRule="auto"/>
              <w:jc w:val="left"/>
            </w:pPr>
            <w:r>
              <w:t>No conocía la existencia del free tier y agregué una tarjeta al configurar el acceso.</w:t>
            </w:r>
          </w:p>
        </w:tc>
        <w:tc>
          <w:tcPr>
            <w:tcW w:type="dxa" w:w="329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7F7F3"/>
          </w:tcPr>
          <w:p>
            <w:pPr>
              <w:spacing w:after="0" w:line="259" w:lineRule="auto"/>
              <w:jc w:val="left"/>
            </w:pPr>
            <w:r>
              <w:t>Continué con la conexión, pero identifiqué que debía revisar primero las opciones gratuitas para las pruebas.</w:t>
            </w:r>
          </w:p>
        </w:tc>
      </w:tr>
      <w:tr>
        <w:tc>
          <w:tcPr>
            <w:tcW w:type="dxa" w:w="64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center"/>
            </w:pPr>
            <w:r>
              <w:t>3</w:t>
            </w:r>
          </w:p>
        </w:tc>
        <w:tc>
          <w:tcPr>
            <w:tcW w:type="dxa" w:w="3096"/>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Probé la comunicación con Gemini junto con Pedro.</w:t>
            </w:r>
          </w:p>
        </w:tc>
        <w:tc>
          <w:tcPr>
            <w:tcW w:type="dxa" w:w="2952"/>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Había que comprobar que la solicitud llegara al modelo y que la aplicación recibiera su respuesta.</w:t>
            </w:r>
          </w:p>
        </w:tc>
        <w:tc>
          <w:tcPr>
            <w:tcW w:type="dxa" w:w="329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La POC permitió demostrar la viabilidad de la conexión y dejó una base para la integración posterior.</w:t>
            </w:r>
          </w:p>
        </w:tc>
      </w:tr>
    </w:tbl>
    <w:p>
      <w:pPr>
        <w:pStyle w:val="Heading1"/>
        <w:keepNext/>
        <w:pageBreakBefore/>
        <w:spacing w:before="320" w:after="120"/>
      </w:pPr>
      <w:r>
        <w:rPr>
          <w:rFonts w:ascii="Arial" w:hAnsi="Arial" w:eastAsia="Arial"/>
          <w:b/>
          <w:i w:val="0"/>
          <w:color w:val="20231F"/>
          <w:sz w:val="28"/>
        </w:rPr>
        <w:t>Retos y decisiones</w:t>
      </w:r>
    </w:p>
    <w:p>
      <w:pPr>
        <w:pStyle w:val="ListBullet"/>
        <w:spacing w:after="100"/>
        <w:ind w:left="317" w:hanging="173"/>
      </w:pPr>
      <w:r>
        <w:t>Reto: Pasar de la idea de utilizar Gemini a una prueba que demostrara la comunicación real con el modelo.</w:t>
      </w:r>
    </w:p>
    <w:p>
      <w:pPr>
        <w:pStyle w:val="ListBullet"/>
        <w:spacing w:after="100"/>
        <w:ind w:left="317" w:hanging="173"/>
      </w:pPr>
      <w:r>
        <w:t>Decisión: Construir una POC pequeña y trabajar junto con Pedro en la elección del modelo y la preparación de las consultas. Concentrarnos primero en conseguir el intercambio de información.</w:t>
      </w:r>
    </w:p>
    <w:p>
      <w:pPr>
        <w:pStyle w:val="ListBullet"/>
        <w:spacing w:after="100"/>
        <w:ind w:left="317" w:hanging="173"/>
      </w:pPr>
      <w:r>
        <w:t>Resultado: La prueba de concepto demostró que la conexión con Gemini es viable. El siguiente trabajo consiste en adaptar esa comunicación a la clasificación de residuos y conectarla con la interfaz de Wasted.</w:t>
      </w:r>
    </w:p>
    <w:p>
      <w:pPr>
        <w:pStyle w:val="Heading1"/>
        <w:keepNext/>
        <w:spacing w:before="320" w:after="120"/>
      </w:pPr>
      <w:r>
        <w:rPr>
          <w:rFonts w:ascii="Arial" w:hAnsi="Arial" w:eastAsia="Arial"/>
          <w:b/>
          <w:i w:val="0"/>
          <w:color w:val="20231F"/>
          <w:sz w:val="28"/>
        </w:rPr>
        <w:t>Mi aportación al equipo</w:t>
      </w:r>
    </w:p>
    <w:p>
      <w:pPr>
        <w:spacing w:after="160" w:line="276" w:lineRule="auto"/>
      </w:pPr>
      <w:r>
        <w:t>Entregué la prueba de concepto de conexión con Gemini. Pedro y yo colaboramos en la selección del modelo y en la comunicación con la API, mientras Zantiago desarrollaba el prototipo visual. También participé con ambos en la elección de la paleta de colores. Mi principal aportación fue comprobar que la conexión necesaria para el proyecto se podía realizar.</w:t>
      </w:r>
    </w:p>
    <w:p>
      <w:pPr>
        <w:pStyle w:val="Heading1"/>
        <w:keepNext/>
        <w:spacing w:before="320" w:after="120"/>
      </w:pPr>
      <w:r>
        <w:rPr>
          <w:rFonts w:ascii="Arial" w:hAnsi="Arial" w:eastAsia="Arial"/>
          <w:b/>
          <w:i w:val="0"/>
          <w:color w:val="20231F"/>
          <w:sz w:val="28"/>
        </w:rPr>
        <w:t>Reflexión personal</w:t>
      </w:r>
    </w:p>
    <w:p>
      <w:pPr>
        <w:spacing w:after="160" w:line="276" w:lineRule="auto"/>
      </w:pPr>
      <w:r>
        <w:rPr>
          <w:rFonts w:ascii="Arial" w:hAnsi="Arial" w:eastAsia="Arial"/>
          <w:b w:val="0"/>
          <w:i w:val="0"/>
          <w:color w:val="20231F"/>
          <w:sz w:val="22"/>
        </w:rPr>
        <w:t>Lo que aprendí</w:t>
      </w:r>
    </w:p>
    <w:p>
      <w:pPr>
        <w:spacing w:after="160" w:line="276" w:lineRule="auto"/>
      </w:pPr>
      <w:r>
        <w:t>Aprendí a preparar una prueba de concepto para resolver una duda técnica concreta. También entendí mejor cómo se configura el acceso a una API y por qué conviene revisar sus opciones de uso antes de comenzar.</w:t>
      </w:r>
    </w:p>
    <w:p>
      <w:pPr>
        <w:spacing w:after="160" w:line="276" w:lineRule="auto"/>
      </w:pPr>
      <w:r>
        <w:rPr>
          <w:rFonts w:ascii="Arial" w:hAnsi="Arial" w:eastAsia="Arial"/>
          <w:b w:val="0"/>
          <w:i w:val="0"/>
          <w:color w:val="20231F"/>
          <w:sz w:val="22"/>
        </w:rPr>
        <w:t>Lo que haría diferente</w:t>
      </w:r>
    </w:p>
    <w:p>
      <w:pPr>
        <w:spacing w:after="160" w:line="276" w:lineRule="auto"/>
      </w:pPr>
      <w:r>
        <w:t>Habría investigado el free tier antes de configurar el acceso a la API. No sabía que existía y agregué una tarjeta pensando que era necesaria para empezar. De haberlo sabido, habría revisado primero si la opción gratuita cubría nuestra POC y evitado registrar la tarjeta para esa prueba.</w:t>
      </w:r>
    </w:p>
    <w:p>
      <w:pPr>
        <w:spacing w:after="160" w:line="276" w:lineRule="auto"/>
      </w:pPr>
      <w:r>
        <w:rPr>
          <w:rFonts w:ascii="Arial" w:hAnsi="Arial" w:eastAsia="Arial"/>
          <w:b w:val="0"/>
          <w:i w:val="0"/>
          <w:color w:val="20231F"/>
          <w:sz w:val="22"/>
        </w:rPr>
        <w:t>Mi reflexión sobre el trabajo de mis compañeros</w:t>
      </w:r>
    </w:p>
    <w:p>
      <w:pPr>
        <w:spacing w:after="160" w:line="276" w:lineRule="auto"/>
      </w:pPr>
      <w:r>
        <w:t>Zantiago convirtió la idea en pantallas y componentes visuales consistentes. Como mejora, propondría diseñar también los estados de error y espera para que el comportamiento técnico tenga una representación prevista.</w:t>
        <w:br/>
        <w:br/>
        <w:t>Pedro ayudó a definir la idea del proyecto y trabajó conmigo en la elección del modelo y la comunicación con Gemini. Su investigación complementó la implementación de la POC. Como mejora, documentaríamos juntos las decisiones de configuración desde el inicio.</w:t>
      </w:r>
    </w:p>
    <w:p>
      <w:pPr>
        <w:pStyle w:val="Heading1"/>
        <w:keepNext/>
        <w:spacing w:before="320" w:after="120"/>
      </w:pPr>
      <w:r>
        <w:rPr>
          <w:rFonts w:ascii="Arial" w:hAnsi="Arial" w:eastAsia="Arial"/>
          <w:b/>
          <w:i w:val="0"/>
          <w:color w:val="20231F"/>
          <w:sz w:val="28"/>
        </w:rPr>
        <w:t>Siguiente paso</w:t>
      </w:r>
    </w:p>
    <w:p>
      <w:pPr>
        <w:spacing w:after="160" w:line="276" w:lineRule="auto"/>
      </w:pPr>
      <w:r>
        <w:t>Conectar una entrada del prototipo con el backend y presentar su respuesta en la pantalla de resultado. La tarea estará terminada cuando podamos recorrer una consulta completa y mostrar un mensaje comprensible si falla.</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777970"/>
        <w:sz w:val="18"/>
      </w:rPr>
      <w:t>Wasted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023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023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0231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2023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