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ascii="Arial" w:hAnsi="Arial" w:cs="Arial" w:eastAsiaTheme="minorEastAsia"/>
          <w:sz w:val="20"/>
          <w:szCs w:val="20"/>
          <w:lang w:val="en-US" w:eastAsia="zh-CN"/>
        </w:rPr>
      </w:pPr>
      <w:r>
        <w:rPr>
          <w:rFonts w:hint="eastAsia" w:ascii="Arial" w:hAnsi="Arial" w:cs="Arial"/>
          <w:sz w:val="20"/>
          <w:szCs w:val="20"/>
          <w:lang w:val="en-US" w:eastAsia="zh-CN"/>
        </w:rPr>
        <w:t>Keyword format better to follow the third meta-analysis example in the excel sheet, to let PubMed search API better understand the relationship between each keyword.</w:t>
      </w:r>
    </w:p>
    <w:p>
      <w:pPr>
        <w:widowControl w:val="0"/>
        <w:numPr>
          <w:numId w:val="0"/>
        </w:numPr>
        <w:jc w:val="both"/>
        <w:rPr>
          <w:rFonts w:hint="eastAsia" w:ascii="Arial" w:hAnsi="Arial" w:cs="Arial"/>
          <w:sz w:val="20"/>
          <w:szCs w:val="20"/>
          <w:lang w:val="en-US" w:eastAsia="zh-CN"/>
        </w:rPr>
      </w:pPr>
    </w:p>
    <w:p>
      <w:pPr>
        <w:widowControl w:val="0"/>
        <w:numPr>
          <w:numId w:val="0"/>
        </w:numPr>
        <w:jc w:val="both"/>
        <w:rPr>
          <w:rFonts w:hint="eastAsia" w:ascii="Arial" w:hAnsi="Arial" w:cs="Arial"/>
          <w:sz w:val="20"/>
          <w:szCs w:val="20"/>
          <w:lang w:val="en-US" w:eastAsia="zh-CN"/>
        </w:rPr>
      </w:pPr>
      <w:r>
        <w:rPr>
          <w:rFonts w:hint="eastAsia" w:ascii="Arial" w:hAnsi="Arial" w:cs="Arial"/>
          <w:sz w:val="20"/>
          <w:szCs w:val="20"/>
          <w:lang w:val="en-US" w:eastAsia="zh-CN"/>
        </w:rPr>
        <w:t>There are five such meta-analysis that are not following the OR AND format:</w:t>
      </w:r>
    </w:p>
    <w:p>
      <w:pPr>
        <w:widowControl w:val="0"/>
        <w:numPr>
          <w:numId w:val="0"/>
        </w:numPr>
        <w:jc w:val="both"/>
        <w:rPr>
          <w:rFonts w:hint="default" w:ascii="Arial" w:hAnsi="Arial" w:cs="Arial"/>
          <w:sz w:val="20"/>
          <w:szCs w:val="20"/>
          <w:lang w:val="en-US" w:eastAsia="zh-CN"/>
        </w:rPr>
      </w:pPr>
    </w:p>
    <w:p>
      <w:pPr>
        <w:widowControl w:val="0"/>
        <w:numPr>
          <w:ilvl w:val="0"/>
          <w:numId w:val="2"/>
        </w:numPr>
        <w:jc w:val="both"/>
        <w:rPr>
          <w:rFonts w:hint="eastAsia" w:ascii="Arial" w:hAnsi="Arial" w:cs="Arial"/>
          <w:sz w:val="20"/>
          <w:szCs w:val="20"/>
          <w:lang w:val="en-US" w:eastAsia="zh-CN"/>
        </w:rPr>
      </w:pPr>
      <w:r>
        <w:rPr>
          <w:rFonts w:hint="eastAsia" w:ascii="Arial" w:hAnsi="Arial" w:cs="Arial"/>
          <w:sz w:val="20"/>
          <w:szCs w:val="20"/>
          <w:lang w:val="en-US" w:eastAsia="zh-CN"/>
        </w:rPr>
        <w:t>Evaluation of Oseltamivir Used to Prevent Hospitalization in Outpatients With InfluenzaA Systematic Review and Meta-Analysis</w:t>
      </w:r>
    </w:p>
    <w:p>
      <w:pPr>
        <w:widowControl w:val="0"/>
        <w:numPr>
          <w:numId w:val="0"/>
        </w:numPr>
        <w:jc w:val="both"/>
        <w:rPr>
          <w:rFonts w:hint="eastAsia" w:ascii="Arial" w:hAnsi="Arial" w:cs="Arial"/>
          <w:sz w:val="20"/>
          <w:szCs w:val="20"/>
          <w:lang w:val="en-US" w:eastAsia="zh-CN"/>
        </w:rPr>
      </w:pPr>
    </w:p>
    <w:p>
      <w:pPr>
        <w:widowControl w:val="0"/>
        <w:numPr>
          <w:ilvl w:val="0"/>
          <w:numId w:val="2"/>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Digital Health Interventions for Hypertension Management in US Populations Experiencing Health DisparitiesA Systematic Review and Meta-Analysis</w:t>
      </w:r>
    </w:p>
    <w:p>
      <w:pPr>
        <w:widowControl w:val="0"/>
        <w:numPr>
          <w:numId w:val="0"/>
        </w:numPr>
        <w:jc w:val="both"/>
        <w:rPr>
          <w:rFonts w:hint="eastAsia" w:ascii="Arial" w:hAnsi="Arial" w:cs="Arial"/>
          <w:sz w:val="20"/>
          <w:szCs w:val="20"/>
          <w:lang w:val="en-US" w:eastAsia="zh-CN"/>
        </w:rPr>
      </w:pPr>
    </w:p>
    <w:p>
      <w:pPr>
        <w:widowControl w:val="0"/>
        <w:numPr>
          <w:ilvl w:val="0"/>
          <w:numId w:val="2"/>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Colorectal Cancer Screening Programs in Latin America</w:t>
      </w:r>
    </w:p>
    <w:p>
      <w:pPr>
        <w:widowControl w:val="0"/>
        <w:numPr>
          <w:numId w:val="0"/>
        </w:numPr>
        <w:ind w:leftChars="0"/>
        <w:jc w:val="both"/>
        <w:rPr>
          <w:rFonts w:hint="default" w:ascii="Arial" w:hAnsi="Arial" w:cs="Arial"/>
          <w:sz w:val="20"/>
          <w:szCs w:val="20"/>
          <w:lang w:val="en-US" w:eastAsia="zh-CN"/>
        </w:rPr>
      </w:pPr>
    </w:p>
    <w:p>
      <w:pPr>
        <w:widowControl w:val="0"/>
        <w:numPr>
          <w:ilvl w:val="0"/>
          <w:numId w:val="2"/>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Live Birth After Oocyte Donation In Vitro Fertilization Cycles in Women With Endometriosis</w:t>
      </w:r>
    </w:p>
    <w:p>
      <w:pPr>
        <w:widowControl w:val="0"/>
        <w:numPr>
          <w:numId w:val="0"/>
        </w:numPr>
        <w:jc w:val="both"/>
        <w:rPr>
          <w:rFonts w:hint="default" w:ascii="Arial" w:hAnsi="Arial" w:cs="Arial"/>
          <w:sz w:val="20"/>
          <w:szCs w:val="20"/>
          <w:lang w:val="en-US" w:eastAsia="zh-CN"/>
        </w:rPr>
      </w:pPr>
    </w:p>
    <w:p>
      <w:pPr>
        <w:widowControl w:val="0"/>
        <w:numPr>
          <w:ilvl w:val="0"/>
          <w:numId w:val="2"/>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Age-Related Differences in Accelerometer-Assessed Physical Activity and Sleep Parameters Among Children and Adolescents With and Without Autism Spectrum Disorder</w:t>
      </w:r>
    </w:p>
    <w:p>
      <w:pPr>
        <w:widowControl w:val="0"/>
        <w:numPr>
          <w:numId w:val="0"/>
        </w:numPr>
        <w:jc w:val="both"/>
        <w:rPr>
          <w:rFonts w:hint="default" w:ascii="Arial" w:hAnsi="Arial" w:cs="Arial"/>
          <w:sz w:val="20"/>
          <w:szCs w:val="20"/>
          <w:lang w:val="en-US" w:eastAsia="zh-CN"/>
        </w:rPr>
      </w:pPr>
    </w:p>
    <w:p>
      <w:pPr>
        <w:widowControl w:val="0"/>
        <w:numPr>
          <w:numId w:val="0"/>
        </w:numPr>
        <w:jc w:val="both"/>
        <w:rPr>
          <w:rFonts w:hint="eastAsia" w:ascii="Arial" w:hAnsi="Arial" w:cs="Arial"/>
          <w:sz w:val="20"/>
          <w:szCs w:val="20"/>
          <w:lang w:val="en-US" w:eastAsia="zh-CN"/>
        </w:rPr>
      </w:pPr>
      <w:r>
        <w:rPr>
          <w:rFonts w:hint="eastAsia" w:ascii="Arial" w:hAnsi="Arial" w:cs="Arial"/>
          <w:sz w:val="20"/>
          <w:szCs w:val="20"/>
          <w:lang w:val="en-US" w:eastAsia="zh-CN"/>
        </w:rPr>
        <w:t xml:space="preserve">Keywords for these five articles are separated by a single comma, which will then be treated as </w:t>
      </w:r>
      <w:r>
        <w:rPr>
          <w:rFonts w:hint="default" w:ascii="Arial" w:hAnsi="Arial" w:cs="Arial"/>
          <w:sz w:val="20"/>
          <w:szCs w:val="20"/>
          <w:lang w:val="en-US" w:eastAsia="zh-CN"/>
        </w:rPr>
        <w:t>“</w:t>
      </w:r>
      <w:r>
        <w:rPr>
          <w:rFonts w:hint="eastAsia" w:ascii="Arial" w:hAnsi="Arial" w:cs="Arial"/>
          <w:sz w:val="20"/>
          <w:szCs w:val="20"/>
          <w:lang w:val="en-US" w:eastAsia="zh-CN"/>
        </w:rPr>
        <w:t>OR</w:t>
      </w:r>
      <w:r>
        <w:rPr>
          <w:rFonts w:hint="default" w:ascii="Arial" w:hAnsi="Arial" w:cs="Arial"/>
          <w:sz w:val="20"/>
          <w:szCs w:val="20"/>
          <w:lang w:val="en-US" w:eastAsia="zh-CN"/>
        </w:rPr>
        <w:t>”</w:t>
      </w:r>
      <w:r>
        <w:rPr>
          <w:rFonts w:hint="eastAsia" w:ascii="Arial" w:hAnsi="Arial" w:cs="Arial"/>
          <w:sz w:val="20"/>
          <w:szCs w:val="20"/>
          <w:lang w:val="en-US" w:eastAsia="zh-CN"/>
        </w:rPr>
        <w:t xml:space="preserve"> among each keyword. If keywords for each of these five meta-analysis can be combined using boolean operators, it will shorten the searching time, narrow the range of potential articles and enhance the searching performance. </w:t>
      </w:r>
    </w:p>
    <w:p>
      <w:pPr>
        <w:widowControl w:val="0"/>
        <w:numPr>
          <w:numId w:val="0"/>
        </w:numPr>
        <w:jc w:val="both"/>
        <w:rPr>
          <w:rFonts w:hint="eastAsia" w:ascii="Arial" w:hAnsi="Arial" w:cs="Arial"/>
          <w:sz w:val="20"/>
          <w:szCs w:val="20"/>
          <w:lang w:val="en-US" w:eastAsia="zh-CN"/>
        </w:rPr>
      </w:pPr>
    </w:p>
    <w:p>
      <w:pPr>
        <w:widowControl w:val="0"/>
        <w:numPr>
          <w:numId w:val="0"/>
        </w:numPr>
        <w:jc w:val="both"/>
        <w:rPr>
          <w:rFonts w:hint="eastAsia" w:ascii="Arial" w:hAnsi="Arial" w:cs="Arial"/>
          <w:sz w:val="20"/>
          <w:szCs w:val="20"/>
          <w:lang w:val="en-US" w:eastAsia="zh-CN"/>
        </w:rPr>
      </w:pPr>
      <w:r>
        <w:rPr>
          <w:rFonts w:hint="eastAsia" w:ascii="Arial" w:hAnsi="Arial" w:cs="Arial"/>
          <w:sz w:val="20"/>
          <w:szCs w:val="20"/>
          <w:lang w:val="en-US" w:eastAsia="zh-CN"/>
        </w:rPr>
        <w:t>PubMed: Basic Boolean Search Hints:</w:t>
      </w:r>
    </w:p>
    <w:p>
      <w:pPr>
        <w:widowControl w:val="0"/>
        <w:numPr>
          <w:numId w:val="0"/>
        </w:numPr>
        <w:jc w:val="both"/>
        <w:rPr>
          <w:rFonts w:hint="default" w:ascii="Arial" w:hAnsi="Arial" w:cs="Arial"/>
          <w:sz w:val="20"/>
          <w:szCs w:val="20"/>
          <w:lang w:val="en-US" w:eastAsia="zh-CN"/>
        </w:rPr>
      </w:pPr>
      <w:r>
        <w:rPr>
          <w:rFonts w:hint="default" w:ascii="Arial" w:hAnsi="Arial" w:cs="Arial"/>
          <w:sz w:val="20"/>
          <w:szCs w:val="20"/>
          <w:lang w:val="en-US" w:eastAsia="zh-CN"/>
        </w:rPr>
        <w:fldChar w:fldCharType="begin"/>
      </w:r>
      <w:r>
        <w:rPr>
          <w:rFonts w:hint="default" w:ascii="Arial" w:hAnsi="Arial" w:cs="Arial"/>
          <w:sz w:val="20"/>
          <w:szCs w:val="20"/>
          <w:lang w:val="en-US" w:eastAsia="zh-CN"/>
        </w:rPr>
        <w:instrText xml:space="preserve"> HYPERLINK "https://www.nlm.nih.gov/pubs/techbull/ja97/ja97_pubmed.html" </w:instrText>
      </w:r>
      <w:r>
        <w:rPr>
          <w:rFonts w:hint="default" w:ascii="Arial" w:hAnsi="Arial" w:cs="Arial"/>
          <w:sz w:val="20"/>
          <w:szCs w:val="20"/>
          <w:lang w:val="en-US" w:eastAsia="zh-CN"/>
        </w:rPr>
        <w:fldChar w:fldCharType="separate"/>
      </w:r>
      <w:r>
        <w:rPr>
          <w:rStyle w:val="4"/>
          <w:rFonts w:hint="default" w:ascii="Arial" w:hAnsi="Arial" w:cs="Arial"/>
          <w:sz w:val="20"/>
          <w:szCs w:val="20"/>
          <w:lang w:val="en-US" w:eastAsia="zh-CN"/>
        </w:rPr>
        <w:t>https://www.nlm.nih.gov/pubs/techbull/ja97/ja97_pubmed.html</w:t>
      </w:r>
      <w:r>
        <w:rPr>
          <w:rFonts w:hint="default" w:ascii="Arial" w:hAnsi="Arial" w:cs="Arial"/>
          <w:sz w:val="20"/>
          <w:szCs w:val="20"/>
          <w:lang w:val="en-US" w:eastAsia="zh-CN"/>
        </w:rPr>
        <w:fldChar w:fldCharType="end"/>
      </w:r>
    </w:p>
    <w:p>
      <w:pPr>
        <w:widowControl w:val="0"/>
        <w:numPr>
          <w:numId w:val="0"/>
        </w:numPr>
        <w:jc w:val="both"/>
        <w:rPr>
          <w:rFonts w:hint="eastAsia" w:ascii="Arial" w:hAnsi="Arial" w:cs="Arial"/>
          <w:sz w:val="20"/>
          <w:szCs w:val="20"/>
          <w:lang w:val="en-US" w:eastAsia="zh-CN"/>
        </w:rPr>
      </w:pPr>
    </w:p>
    <w:p>
      <w:pPr>
        <w:widowControl w:val="0"/>
        <w:numPr>
          <w:numId w:val="0"/>
        </w:numPr>
        <w:jc w:val="both"/>
        <w:rPr>
          <w:rFonts w:hint="default" w:ascii="Arial" w:hAnsi="Arial" w:cs="Arial"/>
          <w:sz w:val="20"/>
          <w:szCs w:val="20"/>
          <w:lang w:val="en-US" w:eastAsia="zh-CN"/>
        </w:rPr>
      </w:pPr>
    </w:p>
    <w:p>
      <w:pPr>
        <w:widowControl w:val="0"/>
        <w:numPr>
          <w:ilvl w:val="0"/>
          <w:numId w:val="1"/>
        </w:numPr>
        <w:ind w:left="0" w:leftChars="0" w:firstLine="0" w:firstLineChars="0"/>
        <w:jc w:val="both"/>
        <w:rPr>
          <w:rFonts w:hint="eastAsia" w:ascii="Arial" w:hAnsi="Arial" w:cs="Arial"/>
          <w:sz w:val="20"/>
          <w:szCs w:val="20"/>
          <w:lang w:val="en-US" w:eastAsia="zh-CN"/>
        </w:rPr>
      </w:pPr>
      <w:r>
        <w:rPr>
          <w:rFonts w:hint="eastAsia" w:ascii="Arial" w:hAnsi="Arial" w:cs="Arial"/>
          <w:sz w:val="20"/>
          <w:szCs w:val="20"/>
          <w:lang w:val="en-US" w:eastAsia="zh-CN"/>
        </w:rPr>
        <w:t>Prompt: "Article titles are: {filtered_titles}\n"</w:t>
      </w:r>
    </w:p>
    <w:p>
      <w:pPr>
        <w:widowControl w:val="0"/>
        <w:numPr>
          <w:numId w:val="0"/>
        </w:numPr>
        <w:ind w:leftChars="0"/>
        <w:jc w:val="both"/>
        <w:rPr>
          <w:rFonts w:hint="eastAsia" w:ascii="Arial" w:hAnsi="Arial" w:cs="Arial"/>
          <w:sz w:val="20"/>
          <w:szCs w:val="20"/>
          <w:lang w:val="en-US" w:eastAsia="zh-CN"/>
        </w:rPr>
      </w:pPr>
      <w:r>
        <w:rPr>
          <w:rFonts w:hint="eastAsia" w:ascii="Arial" w:hAnsi="Arial" w:cs="Arial"/>
          <w:sz w:val="20"/>
          <w:szCs w:val="20"/>
          <w:lang w:val="en-US" w:eastAsia="zh-CN"/>
        </w:rPr>
        <w:t>Abstracts for each article are: {filtered_abstract}.\n"</w:t>
      </w:r>
    </w:p>
    <w:p>
      <w:pPr>
        <w:widowControl w:val="0"/>
        <w:numPr>
          <w:numId w:val="0"/>
        </w:numPr>
        <w:ind w:leftChars="0"/>
        <w:jc w:val="both"/>
        <w:rPr>
          <w:rFonts w:hint="eastAsia" w:ascii="Arial" w:hAnsi="Arial" w:cs="Arial"/>
          <w:sz w:val="20"/>
          <w:szCs w:val="20"/>
          <w:lang w:val="en-US" w:eastAsia="zh-CN"/>
        </w:rPr>
      </w:pPr>
      <w:r>
        <w:rPr>
          <w:rFonts w:hint="eastAsia" w:ascii="Arial" w:hAnsi="Arial" w:cs="Arial"/>
          <w:sz w:val="20"/>
          <w:szCs w:val="20"/>
          <w:lang w:val="en-US" w:eastAsia="zh-CN"/>
        </w:rPr>
        <w:t>Now filter these articles that you think would be useful for systematic review or meta-analysis on {title[i]}.\n"</w:t>
      </w:r>
    </w:p>
    <w:p>
      <w:pPr>
        <w:widowControl w:val="0"/>
        <w:numPr>
          <w:numId w:val="0"/>
        </w:numPr>
        <w:ind w:leftChars="0"/>
        <w:jc w:val="both"/>
        <w:rPr>
          <w:rFonts w:hint="default" w:ascii="Arial" w:hAnsi="Arial" w:cs="Arial"/>
          <w:sz w:val="20"/>
          <w:szCs w:val="20"/>
          <w:lang w:val="en-US" w:eastAsia="zh-CN"/>
        </w:rPr>
      </w:pPr>
    </w:p>
    <w:p>
      <w:pPr>
        <w:widowControl w:val="0"/>
        <w:numPr>
          <w:numId w:val="0"/>
        </w:numPr>
        <w:ind w:leftChars="0"/>
        <w:jc w:val="both"/>
        <w:rPr>
          <w:rFonts w:hint="eastAsia" w:ascii="Arial" w:hAnsi="Arial" w:cs="Arial"/>
          <w:sz w:val="20"/>
          <w:szCs w:val="20"/>
          <w:lang w:val="en-US" w:eastAsia="zh-CN"/>
        </w:rPr>
      </w:pPr>
      <w:r>
        <w:rPr>
          <w:rFonts w:hint="eastAsia" w:ascii="Arial" w:hAnsi="Arial" w:cs="Arial"/>
          <w:sz w:val="20"/>
          <w:szCs w:val="20"/>
          <w:lang w:val="en-US" w:eastAsia="zh-CN"/>
        </w:rPr>
        <w:t>The prompt does not give ChatGPT a clear definition of useful regarding as meta-analysis research topics.</w:t>
      </w:r>
    </w:p>
    <w:p>
      <w:pPr>
        <w:widowControl w:val="0"/>
        <w:numPr>
          <w:numId w:val="0"/>
        </w:numPr>
        <w:ind w:leftChars="0"/>
        <w:jc w:val="both"/>
        <w:rPr>
          <w:rFonts w:hint="eastAsia" w:ascii="Arial" w:hAnsi="Arial" w:cs="Arial"/>
          <w:sz w:val="20"/>
          <w:szCs w:val="20"/>
          <w:lang w:val="en-US" w:eastAsia="zh-CN"/>
        </w:rPr>
      </w:pPr>
    </w:p>
    <w:p>
      <w:pPr>
        <w:widowControl w:val="0"/>
        <w:numPr>
          <w:numId w:val="0"/>
        </w:numPr>
        <w:ind w:leftChars="0"/>
        <w:jc w:val="both"/>
        <w:rPr>
          <w:rFonts w:hint="eastAsia" w:ascii="Arial" w:hAnsi="Arial" w:cs="Arial"/>
          <w:sz w:val="20"/>
          <w:szCs w:val="20"/>
          <w:lang w:val="en-US" w:eastAsia="zh-CN"/>
        </w:rPr>
      </w:pPr>
      <w:r>
        <w:rPr>
          <w:rFonts w:hint="eastAsia" w:ascii="Arial" w:hAnsi="Arial" w:cs="Arial"/>
          <w:sz w:val="20"/>
          <w:szCs w:val="20"/>
          <w:lang w:val="en-US" w:eastAsia="zh-CN"/>
        </w:rPr>
        <w:t>Cases:</w:t>
      </w:r>
    </w:p>
    <w:p>
      <w:pPr>
        <w:widowControl w:val="0"/>
        <w:numPr>
          <w:ilvl w:val="0"/>
          <w:numId w:val="3"/>
        </w:numPr>
        <w:ind w:leftChars="0"/>
        <w:jc w:val="both"/>
        <w:rPr>
          <w:rFonts w:hint="default" w:ascii="Arial" w:hAnsi="Arial" w:cs="Arial"/>
          <w:sz w:val="20"/>
          <w:szCs w:val="20"/>
          <w:lang w:val="en-US" w:eastAsia="zh-CN"/>
        </w:rPr>
      </w:pPr>
      <w:r>
        <w:rPr>
          <w:rFonts w:hint="eastAsia" w:ascii="Arial" w:hAnsi="Arial" w:cs="Arial"/>
          <w:sz w:val="20"/>
          <w:szCs w:val="20"/>
          <w:lang w:val="en-US" w:eastAsia="zh-CN"/>
        </w:rPr>
        <w:t>Evaluation of Oseltamivir Used to Prevent Hospitalization in Outpatients With InfluenzaA Systematic Review and Meta-Analysis:</w:t>
      </w:r>
    </w:p>
    <w:p>
      <w:pPr>
        <w:widowControl w:val="0"/>
        <w:numPr>
          <w:numId w:val="0"/>
        </w:numPr>
        <w:jc w:val="both"/>
        <w:rPr>
          <w:rFonts w:hint="default" w:ascii="Arial" w:hAnsi="Arial" w:cs="Arial"/>
          <w:sz w:val="20"/>
          <w:szCs w:val="20"/>
          <w:lang w:val="en-US" w:eastAsia="zh-CN"/>
        </w:rPr>
      </w:pPr>
    </w:p>
    <w:p>
      <w:pPr>
        <w:widowControl w:val="0"/>
        <w:numPr>
          <w:ilvl w:val="0"/>
          <w:numId w:val="4"/>
        </w:numPr>
        <w:jc w:val="both"/>
        <w:rPr>
          <w:rFonts w:hint="default" w:ascii="Arial" w:hAnsi="Arial" w:cs="Arial"/>
          <w:sz w:val="20"/>
          <w:szCs w:val="20"/>
          <w:lang w:val="en-US" w:eastAsia="zh-CN"/>
        </w:rPr>
      </w:pPr>
      <w:r>
        <w:rPr>
          <w:rFonts w:hint="default" w:ascii="Arial" w:hAnsi="Arial" w:cs="Arial"/>
          <w:sz w:val="20"/>
          <w:szCs w:val="20"/>
          <w:lang w:val="en-US" w:eastAsia="zh-CN"/>
        </w:rPr>
        <w:t>'Baloxavir Marboxil for Uncomplicated Influenza in Adults and Adolescents.' is not useful as it discusses the use of baloxavir marboxil, a different antiviral agent, for treating uncomplicated influenza in adults and adolescents, rather than specifically evaluating oseltamivir for preventing hospitalization in outpatients.</w:t>
      </w:r>
    </w:p>
    <w:p>
      <w:pPr>
        <w:widowControl w:val="0"/>
        <w:numPr>
          <w:numId w:val="0"/>
        </w:numPr>
        <w:jc w:val="both"/>
        <w:rPr>
          <w:rFonts w:hint="default" w:ascii="Arial" w:hAnsi="Arial" w:cs="Arial"/>
          <w:sz w:val="20"/>
          <w:szCs w:val="20"/>
          <w:lang w:val="en-US" w:eastAsia="zh-CN"/>
        </w:rPr>
      </w:pPr>
    </w:p>
    <w:p>
      <w:pPr>
        <w:widowControl w:val="0"/>
        <w:numPr>
          <w:numId w:val="0"/>
        </w:numPr>
        <w:jc w:val="both"/>
        <w:rPr>
          <w:rFonts w:hint="default" w:ascii="Arial" w:hAnsi="Arial" w:cs="Arial"/>
          <w:sz w:val="20"/>
          <w:szCs w:val="20"/>
          <w:lang w:val="en-US" w:eastAsia="zh-CN"/>
        </w:rPr>
      </w:pPr>
      <w:r>
        <w:rPr>
          <w:rFonts w:hint="default" w:ascii="Arial" w:hAnsi="Arial" w:cs="Arial"/>
          <w:sz w:val="20"/>
          <w:szCs w:val="20"/>
          <w:lang w:val="en-US" w:eastAsia="zh-CN"/>
        </w:rPr>
        <w:t>"Baloxavir Marboxil for Uncomplicated Influenza in Adults and Adolescents." - This article focuses on baloxavir marboxil, not oseltamivir for hospitalization prevention.</w:t>
      </w:r>
    </w:p>
    <w:p>
      <w:pPr>
        <w:widowControl w:val="0"/>
        <w:numPr>
          <w:numId w:val="0"/>
        </w:numPr>
        <w:jc w:val="both"/>
        <w:rPr>
          <w:rFonts w:hint="default" w:ascii="Arial" w:hAnsi="Arial" w:cs="Arial"/>
          <w:sz w:val="20"/>
          <w:szCs w:val="20"/>
          <w:lang w:val="en-US" w:eastAsia="zh-CN"/>
        </w:rPr>
      </w:pPr>
    </w:p>
    <w:p>
      <w:pPr>
        <w:widowControl w:val="0"/>
        <w:numPr>
          <w:ilvl w:val="0"/>
          <w:numId w:val="4"/>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"Effect of Oral Oseltamivir on Virological Outcomes in Low-risk Adults With Influenza: A Randomized Clinical Trial." - Although related to oseltamivir, this article does not address the specific outcome of preventing hospitalization.</w:t>
      </w:r>
    </w:p>
    <w:p>
      <w:pPr>
        <w:widowControl w:val="0"/>
        <w:numPr>
          <w:numId w:val="0"/>
        </w:numPr>
        <w:jc w:val="both"/>
        <w:rPr>
          <w:rFonts w:hint="default" w:ascii="Arial" w:hAnsi="Arial" w:cs="Arial"/>
          <w:sz w:val="20"/>
          <w:szCs w:val="20"/>
          <w:lang w:val="en-US" w:eastAsia="zh-CN"/>
        </w:rPr>
      </w:pPr>
    </w:p>
    <w:p>
      <w:pPr>
        <w:widowControl w:val="0"/>
        <w:numPr>
          <w:numId w:val="0"/>
        </w:numPr>
        <w:jc w:val="both"/>
        <w:rPr>
          <w:rFonts w:hint="default" w:ascii="Arial" w:hAnsi="Arial" w:cs="Arial"/>
          <w:sz w:val="20"/>
          <w:szCs w:val="20"/>
          <w:lang w:val="en-US" w:eastAsia="zh-CN"/>
        </w:rPr>
      </w:pPr>
      <w:r>
        <w:rPr>
          <w:rFonts w:hint="default" w:ascii="Arial" w:hAnsi="Arial" w:cs="Arial"/>
          <w:sz w:val="20"/>
          <w:szCs w:val="20"/>
          <w:lang w:val="en-US" w:eastAsia="zh-CN"/>
        </w:rPr>
        <w:t>'Effect of Oral Oseltamivir on Virological Outcomes in Low-risk Adults With Influenza: A Randomized Clinical Trial.' - This article evaluates the virological outcomes of oseltamivir in low-risk adults with influenza, rather than its use in preventing hospitalization.</w:t>
      </w:r>
    </w:p>
    <w:p>
      <w:pPr>
        <w:widowControl w:val="0"/>
        <w:numPr>
          <w:numId w:val="0"/>
        </w:numPr>
        <w:jc w:val="both"/>
        <w:rPr>
          <w:rFonts w:hint="default" w:ascii="Arial" w:hAnsi="Arial" w:cs="Arial"/>
          <w:sz w:val="20"/>
          <w:szCs w:val="20"/>
          <w:lang w:val="en-US" w:eastAsia="zh-CN"/>
        </w:rPr>
      </w:pPr>
    </w:p>
    <w:p>
      <w:pPr>
        <w:widowControl w:val="0"/>
        <w:numPr>
          <w:ilvl w:val="0"/>
          <w:numId w:val="4"/>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'Oseltamivir plus usual care versus usual care for influenza-like illness in primary care: an open-label, pragmatic, randomised controlled trial.' - Specifically compares the use of oseltamivir in influenza treatment.</w:t>
      </w:r>
    </w:p>
    <w:p>
      <w:pPr>
        <w:widowControl w:val="0"/>
        <w:numPr>
          <w:numId w:val="0"/>
        </w:numPr>
        <w:jc w:val="both"/>
        <w:rPr>
          <w:rFonts w:hint="default" w:ascii="Arial" w:hAnsi="Arial" w:cs="Arial"/>
          <w:sz w:val="20"/>
          <w:szCs w:val="20"/>
          <w:lang w:val="en-US" w:eastAsia="zh-CN"/>
        </w:rPr>
      </w:pPr>
    </w:p>
    <w:p>
      <w:pPr>
        <w:widowControl w:val="0"/>
        <w:numPr>
          <w:numId w:val="0"/>
        </w:numPr>
        <w:jc w:val="both"/>
        <w:rPr>
          <w:rFonts w:hint="default" w:ascii="Arial" w:hAnsi="Arial" w:cs="Arial"/>
          <w:sz w:val="20"/>
          <w:szCs w:val="20"/>
          <w:lang w:val="en-US" w:eastAsia="zh-CN"/>
        </w:rPr>
      </w:pPr>
      <w:r>
        <w:rPr>
          <w:rFonts w:hint="default" w:ascii="Arial" w:hAnsi="Arial" w:cs="Arial"/>
          <w:sz w:val="20"/>
          <w:szCs w:val="20"/>
          <w:lang w:val="en-US" w:eastAsia="zh-CN"/>
        </w:rPr>
        <w:t>Oseltamivir plus usual care versus usual care for influenza-like illness in primary care: an open-label, pragmatic, randomised controlled trial.</w:t>
      </w:r>
    </w:p>
    <w:p>
      <w:pPr>
        <w:widowControl w:val="0"/>
        <w:numPr>
          <w:numId w:val="0"/>
        </w:numPr>
        <w:jc w:val="both"/>
        <w:rPr>
          <w:rFonts w:hint="default" w:ascii="Arial" w:hAnsi="Arial" w:cs="Arial"/>
          <w:sz w:val="20"/>
          <w:szCs w:val="20"/>
          <w:lang w:val="en-US" w:eastAsia="zh-CN"/>
        </w:rPr>
      </w:pPr>
      <w:r>
        <w:rPr>
          <w:rFonts w:hint="default" w:ascii="Arial" w:hAnsi="Arial" w:cs="Arial"/>
          <w:sz w:val="20"/>
          <w:szCs w:val="20"/>
          <w:lang w:val="en-US" w:eastAsia="zh-CN"/>
        </w:rPr>
        <w:t>- Focuses on comparing oseltamivir plus usual care versus usual care for influenza-like illness in primary care settings, which is different from evaluating oseltamivir used to prevent hospitalization in outpatients with influenza.</w:t>
      </w:r>
    </w:p>
    <w:p>
      <w:pPr>
        <w:widowControl w:val="0"/>
        <w:numPr>
          <w:numId w:val="0"/>
        </w:numPr>
        <w:jc w:val="both"/>
        <w:rPr>
          <w:rFonts w:hint="default" w:ascii="Arial" w:hAnsi="Arial" w:cs="Arial"/>
          <w:sz w:val="20"/>
          <w:szCs w:val="20"/>
          <w:lang w:val="en-US" w:eastAsia="zh-CN"/>
        </w:rPr>
      </w:pPr>
    </w:p>
    <w:p>
      <w:pPr>
        <w:widowControl w:val="0"/>
        <w:numPr>
          <w:ilvl w:val="0"/>
          <w:numId w:val="4"/>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Early treatment with baloxavir marboxil in high-risk adolescent and adult outpatients with uncomplicated influenza (CAPSTONE-2): a randomised, placebo-controlled, phase 3 trial. (Focuses on baloxavir, not oseltamivir)</w:t>
      </w:r>
    </w:p>
    <w:p>
      <w:pPr>
        <w:widowControl w:val="0"/>
        <w:numPr>
          <w:numId w:val="0"/>
        </w:numPr>
        <w:ind w:leftChars="0"/>
        <w:jc w:val="both"/>
        <w:rPr>
          <w:rFonts w:hint="default" w:ascii="Arial" w:hAnsi="Arial" w:cs="Arial"/>
          <w:sz w:val="20"/>
          <w:szCs w:val="20"/>
          <w:lang w:val="en-US" w:eastAsia="zh-CN"/>
        </w:rPr>
      </w:pPr>
    </w:p>
    <w:p>
      <w:pPr>
        <w:widowControl w:val="0"/>
        <w:numPr>
          <w:ilvl w:val="0"/>
          <w:numId w:val="3"/>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Stereotactic Body and Conventional Radiotherapy for Painful Bone MetastasesA Systematic Review and Meta-Analysis</w:t>
      </w:r>
      <w:r>
        <w:rPr>
          <w:rFonts w:hint="eastAsia" w:ascii="Arial" w:hAnsi="Arial" w:cs="Arial"/>
          <w:sz w:val="20"/>
          <w:szCs w:val="20"/>
          <w:lang w:val="en-US" w:eastAsia="zh-CN"/>
        </w:rPr>
        <w:t>:</w:t>
      </w:r>
    </w:p>
    <w:p>
      <w:pPr>
        <w:widowControl w:val="0"/>
        <w:numPr>
          <w:numId w:val="0"/>
        </w:numPr>
        <w:jc w:val="both"/>
        <w:rPr>
          <w:rFonts w:hint="default" w:ascii="Arial" w:hAnsi="Arial" w:cs="Arial"/>
          <w:sz w:val="20"/>
          <w:szCs w:val="20"/>
          <w:lang w:val="en-US" w:eastAsia="zh-CN"/>
        </w:rPr>
      </w:pPr>
    </w:p>
    <w:p>
      <w:pPr>
        <w:widowControl w:val="0"/>
        <w:numPr>
          <w:ilvl w:val="0"/>
          <w:numId w:val="5"/>
        </w:numPr>
        <w:jc w:val="both"/>
        <w:rPr>
          <w:rFonts w:hint="default" w:ascii="Arial" w:hAnsi="Arial" w:cs="Arial"/>
          <w:sz w:val="20"/>
          <w:szCs w:val="20"/>
          <w:lang w:val="en-US" w:eastAsia="zh-CN"/>
        </w:rPr>
      </w:pPr>
      <w:r>
        <w:rPr>
          <w:rFonts w:hint="default" w:ascii="Arial" w:hAnsi="Arial" w:cs="Arial"/>
          <w:sz w:val="20"/>
          <w:szCs w:val="20"/>
          <w:lang w:val="en-US" w:eastAsia="zh-CN"/>
        </w:rPr>
        <w:t>'Stereotactic radiosurgery compared with external radiation therapy as a primary treatment in spine metastasis from renal cell carcinoma: a multicenter, matched-pair study.': This article compares stereotactic radiosurgery with external radiation therapy specifically for spine metastasis from renal cell carcinoma, not focusing on bone metastases in general.</w:t>
      </w:r>
    </w:p>
    <w:p>
      <w:pPr>
        <w:widowControl w:val="0"/>
        <w:numPr>
          <w:numId w:val="0"/>
        </w:numPr>
        <w:jc w:val="both"/>
        <w:rPr>
          <w:rFonts w:hint="default" w:ascii="Arial" w:hAnsi="Arial" w:cs="Arial"/>
          <w:sz w:val="20"/>
          <w:szCs w:val="20"/>
          <w:lang w:val="en-US" w:eastAsia="zh-CN"/>
        </w:rPr>
      </w:pPr>
    </w:p>
    <w:p>
      <w:pPr>
        <w:widowControl w:val="0"/>
        <w:numPr>
          <w:numId w:val="0"/>
        </w:numPr>
        <w:jc w:val="both"/>
        <w:rPr>
          <w:rFonts w:hint="default" w:ascii="Arial" w:hAnsi="Arial" w:cs="Arial"/>
          <w:sz w:val="20"/>
          <w:szCs w:val="20"/>
          <w:lang w:val="en-US" w:eastAsia="zh-CN"/>
        </w:rPr>
      </w:pPr>
    </w:p>
    <w:p>
      <w:pPr>
        <w:widowControl w:val="0"/>
        <w:numPr>
          <w:ilvl w:val="0"/>
          <w:numId w:val="3"/>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Problem-Solving Skills Training for Parents of Children With Chronic Health Conditions</w:t>
      </w:r>
      <w:r>
        <w:rPr>
          <w:rFonts w:hint="eastAsia" w:ascii="Arial" w:hAnsi="Arial" w:cs="Arial"/>
          <w:sz w:val="20"/>
          <w:szCs w:val="20"/>
          <w:lang w:val="en-US" w:eastAsia="zh-CN"/>
        </w:rPr>
        <w:t>:</w:t>
      </w:r>
    </w:p>
    <w:p>
      <w:pPr>
        <w:widowControl w:val="0"/>
        <w:numPr>
          <w:numId w:val="0"/>
        </w:numPr>
        <w:jc w:val="both"/>
        <w:rPr>
          <w:rFonts w:hint="default" w:ascii="Arial" w:hAnsi="Arial" w:cs="Arial"/>
          <w:sz w:val="20"/>
          <w:szCs w:val="20"/>
          <w:lang w:val="en-US" w:eastAsia="zh-CN"/>
        </w:rPr>
      </w:pPr>
    </w:p>
    <w:p>
      <w:pPr>
        <w:widowControl w:val="0"/>
        <w:numPr>
          <w:ilvl w:val="0"/>
          <w:numId w:val="6"/>
        </w:numPr>
        <w:jc w:val="both"/>
        <w:rPr>
          <w:rFonts w:hint="default" w:ascii="Arial" w:hAnsi="Arial" w:cs="Arial"/>
          <w:sz w:val="20"/>
          <w:szCs w:val="20"/>
          <w:lang w:val="en-US" w:eastAsia="zh-CN"/>
        </w:rPr>
      </w:pPr>
      <w:r>
        <w:rPr>
          <w:rFonts w:hint="default" w:ascii="Arial" w:hAnsi="Arial" w:cs="Arial"/>
          <w:sz w:val="20"/>
          <w:szCs w:val="20"/>
          <w:lang w:val="en-US" w:eastAsia="zh-CN"/>
        </w:rPr>
        <w:t>'A randomized controlled trial of bibliotherapy for carers of young people with first-episode psychosis.'</w:t>
      </w:r>
      <w:r>
        <w:rPr>
          <w:rFonts w:hint="eastAsia" w:ascii="Arial" w:hAnsi="Arial" w:cs="Arial"/>
          <w:sz w:val="20"/>
          <w:szCs w:val="20"/>
          <w:lang w:val="en-US" w:eastAsia="zh-CN"/>
        </w:rPr>
        <w:t xml:space="preserve"> -</w:t>
      </w:r>
      <w:r>
        <w:rPr>
          <w:rFonts w:hint="default" w:ascii="Arial" w:hAnsi="Arial" w:cs="Arial"/>
          <w:sz w:val="20"/>
          <w:szCs w:val="20"/>
          <w:lang w:val="en-US" w:eastAsia="zh-CN"/>
        </w:rPr>
        <w:t xml:space="preserve"> Addresses carers of individuals with first-episode psychosis, not related to chronic health conditions in children.</w:t>
      </w:r>
    </w:p>
    <w:p>
      <w:pPr>
        <w:widowControl w:val="0"/>
        <w:numPr>
          <w:numId w:val="0"/>
        </w:numPr>
        <w:jc w:val="both"/>
        <w:rPr>
          <w:rFonts w:hint="default" w:ascii="Arial" w:hAnsi="Arial" w:cs="Arial"/>
          <w:sz w:val="20"/>
          <w:szCs w:val="20"/>
          <w:lang w:val="en-US" w:eastAsia="zh-CN"/>
        </w:rPr>
      </w:pPr>
    </w:p>
    <w:p>
      <w:pPr>
        <w:widowControl w:val="0"/>
        <w:numPr>
          <w:ilvl w:val="0"/>
          <w:numId w:val="6"/>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Specificity of problem-solving skills training in mothers of children newly diagnosed with cancer: This article is not focused on chronic health conditions in children.</w:t>
      </w:r>
    </w:p>
    <w:p>
      <w:pPr>
        <w:widowControl w:val="0"/>
        <w:numPr>
          <w:numId w:val="0"/>
        </w:numPr>
        <w:jc w:val="both"/>
        <w:rPr>
          <w:rFonts w:hint="default" w:ascii="Arial" w:hAnsi="Arial" w:cs="Arial"/>
          <w:sz w:val="20"/>
          <w:szCs w:val="20"/>
          <w:lang w:val="en-US" w:eastAsia="zh-CN"/>
        </w:rPr>
      </w:pPr>
    </w:p>
    <w:p>
      <w:pPr>
        <w:widowControl w:val="0"/>
        <w:numPr>
          <w:ilvl w:val="0"/>
          <w:numId w:val="6"/>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Problem-solving skills training for vulnerable families of children with persistent asthma: report of a randomized trial on health-related quality of life outcomes.</w:t>
      </w:r>
    </w:p>
    <w:p>
      <w:pPr>
        <w:widowControl w:val="0"/>
        <w:numPr>
          <w:numId w:val="0"/>
        </w:numPr>
        <w:jc w:val="both"/>
        <w:rPr>
          <w:rFonts w:hint="default" w:ascii="Arial" w:hAnsi="Arial" w:cs="Arial"/>
          <w:sz w:val="20"/>
          <w:szCs w:val="20"/>
          <w:lang w:val="en-US" w:eastAsia="zh-CN"/>
        </w:rPr>
      </w:pPr>
    </w:p>
    <w:p>
      <w:pPr>
        <w:widowControl w:val="0"/>
        <w:numPr>
          <w:ilvl w:val="0"/>
          <w:numId w:val="6"/>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Using problem-solving skills training to reduce negative affectivity in mothers of children with newly diagnosed cancer: report of a multisite randomized trial.</w:t>
      </w:r>
    </w:p>
    <w:p>
      <w:pPr>
        <w:widowControl w:val="0"/>
        <w:numPr>
          <w:numId w:val="0"/>
        </w:numPr>
        <w:jc w:val="both"/>
        <w:rPr>
          <w:rFonts w:hint="default" w:ascii="Arial" w:hAnsi="Arial" w:cs="Arial"/>
          <w:sz w:val="20"/>
          <w:szCs w:val="20"/>
          <w:lang w:val="en-US" w:eastAsia="zh-CN"/>
        </w:rPr>
      </w:pPr>
    </w:p>
    <w:p>
      <w:pPr>
        <w:widowControl w:val="0"/>
        <w:numPr>
          <w:ilvl w:val="0"/>
          <w:numId w:val="6"/>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"Problem-solving skills training for parents of children with chronic pain: a pilot randomized controlled trial" is not useful for the systematic review or meta-analysis on Problem-Solving Skills Training for Parents of Children With Chronic Health Conditions because it focuses specifically on chronic pain, which may not be directly relevant to the target population of children with chronic health conditions.</w:t>
      </w:r>
    </w:p>
    <w:p>
      <w:pPr>
        <w:widowControl w:val="0"/>
        <w:numPr>
          <w:numId w:val="0"/>
        </w:numPr>
        <w:jc w:val="both"/>
        <w:rPr>
          <w:rFonts w:hint="default" w:ascii="Arial" w:hAnsi="Arial" w:cs="Arial"/>
          <w:sz w:val="20"/>
          <w:szCs w:val="20"/>
          <w:lang w:val="en-US" w:eastAsia="zh-CN"/>
        </w:rPr>
      </w:pPr>
    </w:p>
    <w:p>
      <w:pPr>
        <w:widowControl w:val="0"/>
        <w:numPr>
          <w:numId w:val="0"/>
        </w:numPr>
        <w:jc w:val="both"/>
        <w:rPr>
          <w:rFonts w:hint="default" w:ascii="Arial" w:hAnsi="Arial" w:cs="Arial"/>
          <w:sz w:val="20"/>
          <w:szCs w:val="20"/>
          <w:lang w:val="en-US" w:eastAsia="zh-CN"/>
        </w:rPr>
      </w:pPr>
      <w:r>
        <w:rPr>
          <w:rFonts w:hint="default" w:ascii="Arial" w:hAnsi="Arial" w:cs="Arial"/>
          <w:sz w:val="20"/>
          <w:szCs w:val="20"/>
          <w:lang w:val="en-US" w:eastAsia="zh-CN"/>
        </w:rPr>
        <w:t>"Problem-solving skills training for parents of children with chronic pain: a pilot randomized controlled trial" is directly related to the topic of interest and should be included in the systematic review.</w:t>
      </w:r>
    </w:p>
    <w:p>
      <w:pPr>
        <w:widowControl w:val="0"/>
        <w:numPr>
          <w:numId w:val="0"/>
        </w:numPr>
        <w:jc w:val="both"/>
        <w:rPr>
          <w:rFonts w:hint="default" w:ascii="Arial" w:hAnsi="Arial" w:cs="Arial"/>
          <w:sz w:val="20"/>
          <w:szCs w:val="20"/>
          <w:lang w:val="en-US" w:eastAsia="zh-CN"/>
        </w:rPr>
      </w:pPr>
    </w:p>
    <w:p>
      <w:pPr>
        <w:widowControl w:val="0"/>
        <w:numPr>
          <w:ilvl w:val="0"/>
          <w:numId w:val="3"/>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Risk of Suicide and Psychiatric Disorders Among Isotretinoin Users</w:t>
      </w:r>
      <w:r>
        <w:rPr>
          <w:rFonts w:hint="eastAsia" w:ascii="Arial" w:hAnsi="Arial" w:cs="Arial"/>
          <w:sz w:val="20"/>
          <w:szCs w:val="20"/>
          <w:lang w:val="en-US" w:eastAsia="zh-CN"/>
        </w:rPr>
        <w:t>:</w:t>
      </w:r>
    </w:p>
    <w:p>
      <w:pPr>
        <w:widowControl w:val="0"/>
        <w:numPr>
          <w:numId w:val="0"/>
        </w:numPr>
        <w:jc w:val="both"/>
        <w:rPr>
          <w:rFonts w:hint="eastAsia" w:ascii="Arial" w:hAnsi="Arial" w:cs="Arial"/>
          <w:sz w:val="20"/>
          <w:szCs w:val="20"/>
          <w:lang w:val="en-US" w:eastAsia="zh-CN"/>
        </w:rPr>
      </w:pPr>
    </w:p>
    <w:p>
      <w:pPr>
        <w:widowControl w:val="0"/>
        <w:numPr>
          <w:ilvl w:val="0"/>
          <w:numId w:val="7"/>
        </w:numPr>
        <w:jc w:val="both"/>
        <w:rPr>
          <w:rFonts w:hint="default" w:ascii="Arial" w:hAnsi="Arial" w:cs="Arial"/>
          <w:sz w:val="20"/>
          <w:szCs w:val="20"/>
          <w:lang w:val="en-US" w:eastAsia="zh-CN"/>
        </w:rPr>
      </w:pPr>
      <w:r>
        <w:rPr>
          <w:rFonts w:hint="default" w:ascii="Arial" w:hAnsi="Arial" w:cs="Arial"/>
          <w:sz w:val="20"/>
          <w:szCs w:val="20"/>
          <w:lang w:val="en-US" w:eastAsia="zh-CN"/>
        </w:rPr>
        <w:t>'Isotretinoin and adverse neuropsychiatric outcomes: retrospective cohort study using routine data.' - Relevant to the topic of suicide risk and psychiatric disorders among isotretinoin users.</w:t>
      </w:r>
    </w:p>
    <w:p>
      <w:pPr>
        <w:widowControl w:val="0"/>
        <w:numPr>
          <w:numId w:val="0"/>
        </w:numPr>
        <w:jc w:val="both"/>
        <w:rPr>
          <w:rFonts w:hint="default" w:ascii="Arial" w:hAnsi="Arial" w:cs="Arial"/>
          <w:sz w:val="20"/>
          <w:szCs w:val="20"/>
          <w:lang w:val="en-US" w:eastAsia="zh-CN"/>
        </w:rPr>
      </w:pPr>
    </w:p>
    <w:p>
      <w:pPr>
        <w:widowControl w:val="0"/>
        <w:numPr>
          <w:numId w:val="0"/>
        </w:numPr>
        <w:jc w:val="both"/>
        <w:rPr>
          <w:rFonts w:hint="default" w:ascii="Arial" w:hAnsi="Arial" w:cs="Arial"/>
          <w:sz w:val="20"/>
          <w:szCs w:val="20"/>
          <w:lang w:val="en-US" w:eastAsia="zh-CN"/>
        </w:rPr>
      </w:pPr>
      <w:r>
        <w:rPr>
          <w:rFonts w:hint="default" w:ascii="Arial" w:hAnsi="Arial" w:cs="Arial"/>
          <w:sz w:val="20"/>
          <w:szCs w:val="20"/>
          <w:lang w:val="en-US" w:eastAsia="zh-CN"/>
        </w:rPr>
        <w:t>'Isotretinoin and adverse neuropsychiatric outcomes: retrospective cohort study using routine data.' - This article directly addresses the topic of interest, but it is not included as the useful article because another article focusing specifically on isotretinoin users was already selected as the single useful article.</w:t>
      </w:r>
    </w:p>
    <w:p>
      <w:pPr>
        <w:widowControl w:val="0"/>
        <w:numPr>
          <w:numId w:val="0"/>
        </w:numPr>
        <w:jc w:val="both"/>
        <w:rPr>
          <w:rFonts w:hint="default" w:ascii="Arial" w:hAnsi="Arial" w:cs="Arial"/>
          <w:sz w:val="20"/>
          <w:szCs w:val="20"/>
          <w:lang w:val="en-US" w:eastAsia="zh-CN"/>
        </w:rPr>
      </w:pPr>
    </w:p>
    <w:p>
      <w:pPr>
        <w:widowControl w:val="0"/>
        <w:numPr>
          <w:ilvl w:val="0"/>
          <w:numId w:val="7"/>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The effects of isotretinoin on affective and cognitive functions are disparate in adolescent acne vulgaris patients.: This article specifically evaluates the effects of isotretinoin on affective and cognitive functions in adolescent acne patients, which is relevant for the systematic review on isotretinoin use and risk of suicide and psychiatric disorders.</w:t>
      </w:r>
    </w:p>
    <w:p>
      <w:pPr>
        <w:widowControl w:val="0"/>
        <w:numPr>
          <w:numId w:val="0"/>
        </w:numPr>
        <w:jc w:val="both"/>
        <w:rPr>
          <w:rFonts w:hint="default" w:ascii="Arial" w:hAnsi="Arial" w:cs="Arial"/>
          <w:sz w:val="20"/>
          <w:szCs w:val="20"/>
          <w:lang w:val="en-US" w:eastAsia="zh-CN"/>
        </w:rPr>
      </w:pPr>
    </w:p>
    <w:p>
      <w:pPr>
        <w:widowControl w:val="0"/>
        <w:numPr>
          <w:ilvl w:val="0"/>
          <w:numId w:val="7"/>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No association found between patients receiving isotretinoin for acne and the development of depression in a Canadian prospective cohort: This article discusses the lack of association between isotretinoin and depression, which may not align with the focus on the risk of suicide and psychiatric disorders among isotretinoin users.</w:t>
      </w:r>
    </w:p>
    <w:p>
      <w:pPr>
        <w:widowControl w:val="0"/>
        <w:numPr>
          <w:numId w:val="0"/>
        </w:numPr>
        <w:jc w:val="both"/>
        <w:rPr>
          <w:rFonts w:hint="eastAsia" w:ascii="Arial" w:hAnsi="Arial" w:cs="Arial"/>
          <w:sz w:val="20"/>
          <w:szCs w:val="20"/>
          <w:lang w:val="en-US" w:eastAsia="zh-CN"/>
        </w:rPr>
      </w:pPr>
    </w:p>
    <w:p>
      <w:pPr>
        <w:widowControl w:val="0"/>
        <w:numPr>
          <w:ilvl w:val="0"/>
          <w:numId w:val="3"/>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Perioperative Factors Associated With Postoperative Delirium in Patients Undergoing Noncardiac Surgery</w:t>
      </w:r>
      <w:r>
        <w:rPr>
          <w:rFonts w:hint="eastAsia" w:ascii="Arial" w:hAnsi="Arial" w:cs="Arial"/>
          <w:sz w:val="20"/>
          <w:szCs w:val="20"/>
          <w:lang w:val="en-US" w:eastAsia="zh-CN"/>
        </w:rPr>
        <w:t>:</w:t>
      </w:r>
    </w:p>
    <w:p>
      <w:pPr>
        <w:widowControl w:val="0"/>
        <w:numPr>
          <w:numId w:val="0"/>
        </w:numPr>
        <w:jc w:val="both"/>
        <w:rPr>
          <w:rFonts w:hint="eastAsia" w:ascii="Arial" w:hAnsi="Arial" w:cs="Arial"/>
          <w:sz w:val="20"/>
          <w:szCs w:val="20"/>
          <w:lang w:val="en-US" w:eastAsia="zh-CN"/>
        </w:rPr>
      </w:pPr>
    </w:p>
    <w:p>
      <w:pPr>
        <w:widowControl w:val="0"/>
        <w:numPr>
          <w:ilvl w:val="0"/>
          <w:numId w:val="8"/>
        </w:numPr>
        <w:jc w:val="both"/>
        <w:rPr>
          <w:rFonts w:hint="default" w:ascii="Arial" w:hAnsi="Arial" w:cs="Arial"/>
          <w:sz w:val="20"/>
          <w:szCs w:val="20"/>
          <w:lang w:val="en-US" w:eastAsia="zh-CN"/>
        </w:rPr>
      </w:pPr>
      <w:r>
        <w:rPr>
          <w:rFonts w:hint="default" w:ascii="Arial" w:hAnsi="Arial" w:cs="Arial"/>
          <w:sz w:val="20"/>
          <w:szCs w:val="20"/>
          <w:lang w:val="en-US" w:eastAsia="zh-CN"/>
        </w:rPr>
        <w:t>Prediction of neonatal outcome in women with gestational hypertension or mild preeclampsia after 36 weeks of gestation.": Not directly related to perioperative factors associated with postoperative delirium in patients undergoing noncardiac surgery.</w:t>
      </w:r>
    </w:p>
    <w:p>
      <w:pPr>
        <w:widowControl w:val="0"/>
        <w:numPr>
          <w:numId w:val="0"/>
        </w:numPr>
        <w:jc w:val="both"/>
        <w:rPr>
          <w:rFonts w:hint="default" w:ascii="Arial" w:hAnsi="Arial" w:cs="Arial"/>
          <w:sz w:val="20"/>
          <w:szCs w:val="20"/>
          <w:lang w:val="en-US" w:eastAsia="zh-CN"/>
        </w:rPr>
      </w:pPr>
    </w:p>
    <w:p>
      <w:pPr>
        <w:widowControl w:val="0"/>
        <w:numPr>
          <w:ilvl w:val="0"/>
          <w:numId w:val="8"/>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"Risk factors and prognostic significance of altered left ventricular geometry in preterm infants.": Not directly related to perioperative factors associated with postoperative delirium in patients undergoing noncardiac surgery.</w:t>
      </w:r>
    </w:p>
    <w:p>
      <w:pPr>
        <w:widowControl w:val="0"/>
        <w:numPr>
          <w:numId w:val="0"/>
        </w:numPr>
        <w:ind w:leftChars="0"/>
        <w:jc w:val="both"/>
        <w:rPr>
          <w:rFonts w:hint="default" w:ascii="Arial" w:hAnsi="Arial" w:cs="Arial"/>
          <w:sz w:val="20"/>
          <w:szCs w:val="20"/>
          <w:lang w:val="en-US" w:eastAsia="zh-CN"/>
        </w:rPr>
      </w:pPr>
    </w:p>
    <w:p>
      <w:pPr>
        <w:widowControl w:val="0"/>
        <w:numPr>
          <w:ilvl w:val="0"/>
          <w:numId w:val="3"/>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Paternal Depression and Risk of Depression Among Offspring</w:t>
      </w:r>
      <w:r>
        <w:rPr>
          <w:rFonts w:hint="eastAsia" w:ascii="Arial" w:hAnsi="Arial" w:cs="Arial"/>
          <w:sz w:val="20"/>
          <w:szCs w:val="20"/>
          <w:lang w:val="en-US" w:eastAsia="zh-CN"/>
        </w:rPr>
        <w:t>:</w:t>
      </w:r>
    </w:p>
    <w:p>
      <w:pPr>
        <w:widowControl w:val="0"/>
        <w:numPr>
          <w:numId w:val="0"/>
        </w:numPr>
        <w:jc w:val="both"/>
        <w:rPr>
          <w:rFonts w:hint="eastAsia" w:ascii="Arial" w:hAnsi="Arial" w:cs="Arial"/>
          <w:sz w:val="20"/>
          <w:szCs w:val="20"/>
          <w:lang w:val="en-US" w:eastAsia="zh-CN"/>
        </w:rPr>
      </w:pPr>
    </w:p>
    <w:p>
      <w:pPr>
        <w:widowControl w:val="0"/>
        <w:numPr>
          <w:ilvl w:val="0"/>
          <w:numId w:val="9"/>
        </w:numPr>
        <w:jc w:val="both"/>
        <w:rPr>
          <w:rFonts w:hint="default" w:ascii="Arial" w:hAnsi="Arial" w:cs="Arial"/>
          <w:sz w:val="20"/>
          <w:szCs w:val="20"/>
          <w:lang w:val="en-US" w:eastAsia="zh-CN"/>
        </w:rPr>
      </w:pPr>
      <w:r>
        <w:rPr>
          <w:rFonts w:hint="default" w:ascii="Arial" w:hAnsi="Arial" w:cs="Arial"/>
          <w:sz w:val="20"/>
          <w:szCs w:val="20"/>
          <w:lang w:val="en-US" w:eastAsia="zh-CN"/>
        </w:rPr>
        <w:t>"Association of parental depression with psychiatric course from adolescence to young adulthood among formerly depressed individuals."</w:t>
      </w:r>
      <w:r>
        <w:rPr>
          <w:rFonts w:hint="eastAsia" w:ascii="Arial" w:hAnsi="Arial" w:cs="Arial"/>
          <w:sz w:val="20"/>
          <w:szCs w:val="20"/>
          <w:lang w:val="en-US" w:eastAsia="zh-CN"/>
        </w:rPr>
        <w:t xml:space="preserve"> </w:t>
      </w:r>
      <w:r>
        <w:rPr>
          <w:rFonts w:hint="default" w:ascii="Arial" w:hAnsi="Arial" w:cs="Arial"/>
          <w:sz w:val="20"/>
          <w:szCs w:val="20"/>
          <w:lang w:val="en-US" w:eastAsia="zh-CN"/>
        </w:rPr>
        <w:t>- While related to parental depression, it does not specifically address paternal depression and offspring risks.</w:t>
      </w:r>
    </w:p>
    <w:p>
      <w:pPr>
        <w:widowControl w:val="0"/>
        <w:numPr>
          <w:numId w:val="0"/>
        </w:numPr>
        <w:jc w:val="both"/>
        <w:rPr>
          <w:rFonts w:hint="default" w:ascii="Arial" w:hAnsi="Arial" w:cs="Arial"/>
          <w:sz w:val="20"/>
          <w:szCs w:val="20"/>
          <w:lang w:val="en-US" w:eastAsia="zh-CN"/>
        </w:rPr>
      </w:pPr>
    </w:p>
    <w:p>
      <w:pPr>
        <w:widowControl w:val="0"/>
        <w:numPr>
          <w:ilvl w:val="0"/>
          <w:numId w:val="9"/>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Maternal depression, paternal psychopathology, and adolescent diagnostic outcomes.</w:t>
      </w:r>
      <w:r>
        <w:rPr>
          <w:rFonts w:hint="eastAsia" w:ascii="Arial" w:hAnsi="Arial" w:cs="Arial"/>
          <w:sz w:val="20"/>
          <w:szCs w:val="20"/>
          <w:lang w:val="en-US" w:eastAsia="zh-CN"/>
        </w:rPr>
        <w:t xml:space="preserve"> - These articles do not directly focus on the relationship between paternal depression and the risk of depression among offspring. They address different topics such as medication exposure, behavior problems, reward attainment, private education costs, and discrimination-related depressive symptoms among adolescents.</w:t>
      </w:r>
    </w:p>
    <w:p>
      <w:pPr>
        <w:widowControl w:val="0"/>
        <w:numPr>
          <w:numId w:val="0"/>
        </w:numPr>
        <w:jc w:val="both"/>
        <w:rPr>
          <w:rFonts w:hint="default" w:ascii="Arial" w:hAnsi="Arial" w:cs="Arial"/>
          <w:sz w:val="20"/>
          <w:szCs w:val="20"/>
          <w:lang w:val="en-US" w:eastAsia="zh-CN"/>
        </w:rPr>
      </w:pPr>
    </w:p>
    <w:p>
      <w:pPr>
        <w:widowControl w:val="0"/>
        <w:numPr>
          <w:ilvl w:val="0"/>
          <w:numId w:val="9"/>
        </w:numPr>
        <w:ind w:left="0" w:leftChars="0" w:firstLine="0" w:firstLineChars="0"/>
        <w:jc w:val="both"/>
        <w:rPr>
          <w:rFonts w:hint="eastAsia" w:ascii="Arial" w:hAnsi="Arial" w:cs="Arial"/>
          <w:sz w:val="20"/>
          <w:szCs w:val="20"/>
          <w:lang w:val="en-US" w:eastAsia="zh-CN"/>
        </w:rPr>
      </w:pPr>
      <w:r>
        <w:rPr>
          <w:rFonts w:hint="default" w:ascii="Arial" w:hAnsi="Arial" w:cs="Arial"/>
          <w:sz w:val="20"/>
          <w:szCs w:val="20"/>
          <w:lang w:val="en-US" w:eastAsia="zh-CN"/>
        </w:rPr>
        <w:t>'Maternal depression during pregnancy and the postnatal period: risks and possible mechanisms for offspring depression at age 18 years.'</w:t>
      </w:r>
      <w:r>
        <w:rPr>
          <w:rFonts w:hint="eastAsia" w:ascii="Arial" w:hAnsi="Arial" w:cs="Arial"/>
          <w:sz w:val="20"/>
          <w:szCs w:val="20"/>
          <w:lang w:val="en-US" w:eastAsia="zh-CN"/>
        </w:rPr>
        <w:t xml:space="preserve"> - The articles not useful are focused on various topics such as symptoms of psychopathology in hearing-impaired children, parental depression and child cognitive vulnerability, parenting an adolescent with chronic pain, mother-blaming among college students, maternal depression during pregnancy and postnatal period, reductions in anxiety and depression symptoms in youth receiving substance use treatment, validity of the aberrant behavior checklist in toddlers, psychopathology and health-related quality-of-life in pediatric asthma, and prenatal predictors of media use during infancy. These articles do not directly focus on the topic of paternal depression and the risk of depression among offspring, making them not suitable for a systematic review or meta-analysis on that specific topic.</w:t>
      </w:r>
    </w:p>
    <w:p>
      <w:pPr>
        <w:widowControl w:val="0"/>
        <w:numPr>
          <w:numId w:val="0"/>
        </w:numPr>
        <w:ind w:leftChars="0"/>
        <w:jc w:val="both"/>
        <w:rPr>
          <w:rFonts w:hint="default" w:ascii="Arial" w:hAnsi="Arial" w:cs="Arial"/>
          <w:sz w:val="20"/>
          <w:szCs w:val="20"/>
          <w:lang w:val="en-US" w:eastAsia="zh-CN"/>
        </w:rPr>
      </w:pPr>
    </w:p>
    <w:p>
      <w:pPr>
        <w:widowControl w:val="0"/>
        <w:numPr>
          <w:ilvl w:val="0"/>
          <w:numId w:val="3"/>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Immune Checkpoint Inhibitors for Child-Pugh Class B Advanced Hepatocellular Carcinoma</w:t>
      </w:r>
      <w:r>
        <w:rPr>
          <w:rFonts w:hint="eastAsia" w:ascii="Arial" w:hAnsi="Arial" w:cs="Arial"/>
          <w:sz w:val="20"/>
          <w:szCs w:val="20"/>
          <w:lang w:val="en-US" w:eastAsia="zh-CN"/>
        </w:rPr>
        <w:t>:</w:t>
      </w:r>
    </w:p>
    <w:p>
      <w:pPr>
        <w:widowControl w:val="0"/>
        <w:numPr>
          <w:numId w:val="0"/>
        </w:numPr>
        <w:jc w:val="both"/>
        <w:rPr>
          <w:rFonts w:hint="eastAsia" w:ascii="Arial" w:hAnsi="Arial" w:cs="Arial"/>
          <w:sz w:val="20"/>
          <w:szCs w:val="20"/>
          <w:lang w:val="en-US" w:eastAsia="zh-CN"/>
        </w:rPr>
      </w:pPr>
    </w:p>
    <w:p>
      <w:pPr>
        <w:widowControl w:val="0"/>
        <w:numPr>
          <w:ilvl w:val="0"/>
          <w:numId w:val="10"/>
        </w:numPr>
        <w:jc w:val="both"/>
        <w:rPr>
          <w:rFonts w:hint="default" w:ascii="Arial" w:hAnsi="Arial" w:cs="Arial"/>
          <w:sz w:val="20"/>
          <w:szCs w:val="20"/>
          <w:lang w:val="en-US" w:eastAsia="zh-CN"/>
        </w:rPr>
      </w:pPr>
      <w:r>
        <w:rPr>
          <w:rFonts w:hint="default" w:ascii="Arial" w:hAnsi="Arial" w:cs="Arial"/>
          <w:sz w:val="20"/>
          <w:szCs w:val="20"/>
          <w:lang w:val="en-US" w:eastAsia="zh-CN"/>
        </w:rPr>
        <w:t>Lenvatinib plus pembrolizumab for systemic therapy-na�ve and -experienced unresectable hepatocellular carcinoma</w:t>
      </w:r>
      <w:r>
        <w:rPr>
          <w:rFonts w:hint="eastAsia" w:ascii="Arial" w:hAnsi="Arial" w:cs="Arial"/>
          <w:sz w:val="20"/>
          <w:szCs w:val="20"/>
          <w:lang w:val="en-US" w:eastAsia="zh-CN"/>
        </w:rPr>
        <w:t>. - N</w:t>
      </w:r>
      <w:r>
        <w:rPr>
          <w:rFonts w:hint="default" w:ascii="Arial" w:hAnsi="Arial" w:cs="Arial"/>
          <w:sz w:val="20"/>
          <w:szCs w:val="20"/>
          <w:lang w:val="en-US" w:eastAsia="zh-CN"/>
        </w:rPr>
        <w:t xml:space="preserve">ot useful for a systematic review or meta-analysis on Immune Checkpoint Inhibitors for Child-Pugh Class B Advanced Hepatocellular Carcinoma because they focus on different topics such as gene therapy, drug resistance mechanisms, and apoptosis induction in hepatocellular carcinoma. Their content does not directly relate to immune checkpoint inhibitors or specifically address Child-Pugh Class B advanced hepatocellular carcinoma. </w:t>
      </w:r>
    </w:p>
    <w:p>
      <w:pPr>
        <w:widowControl w:val="0"/>
        <w:numPr>
          <w:numId w:val="0"/>
        </w:numPr>
        <w:jc w:val="both"/>
        <w:rPr>
          <w:rFonts w:hint="default" w:ascii="Arial" w:hAnsi="Arial" w:cs="Arial"/>
          <w:sz w:val="20"/>
          <w:szCs w:val="20"/>
          <w:lang w:val="en-US" w:eastAsia="zh-CN"/>
        </w:rPr>
      </w:pPr>
    </w:p>
    <w:p>
      <w:pPr>
        <w:widowControl w:val="0"/>
        <w:numPr>
          <w:ilvl w:val="0"/>
          <w:numId w:val="3"/>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Prevalence of Neuroradiological Abnormalities in First-Episode Psychosis</w:t>
      </w:r>
      <w:r>
        <w:rPr>
          <w:rFonts w:hint="eastAsia" w:ascii="Arial" w:hAnsi="Arial" w:cs="Arial"/>
          <w:sz w:val="20"/>
          <w:szCs w:val="20"/>
          <w:lang w:val="en-US" w:eastAsia="zh-CN"/>
        </w:rPr>
        <w:t>:</w:t>
      </w:r>
    </w:p>
    <w:p>
      <w:pPr>
        <w:widowControl w:val="0"/>
        <w:numPr>
          <w:numId w:val="0"/>
        </w:numPr>
        <w:jc w:val="both"/>
        <w:rPr>
          <w:rFonts w:hint="eastAsia" w:ascii="Arial" w:hAnsi="Arial" w:cs="Arial"/>
          <w:sz w:val="20"/>
          <w:szCs w:val="20"/>
          <w:lang w:val="en-US" w:eastAsia="zh-CN"/>
        </w:rPr>
      </w:pPr>
    </w:p>
    <w:p>
      <w:pPr>
        <w:widowControl w:val="0"/>
        <w:numPr>
          <w:ilvl w:val="0"/>
          <w:numId w:val="11"/>
        </w:numPr>
        <w:jc w:val="both"/>
        <w:rPr>
          <w:rFonts w:hint="default" w:ascii="Arial" w:hAnsi="Arial" w:cs="Arial"/>
          <w:sz w:val="20"/>
          <w:szCs w:val="20"/>
          <w:lang w:val="en-US" w:eastAsia="zh-CN"/>
        </w:rPr>
      </w:pPr>
      <w:r>
        <w:rPr>
          <w:rFonts w:hint="default" w:ascii="Arial" w:hAnsi="Arial" w:cs="Arial"/>
          <w:sz w:val="20"/>
          <w:szCs w:val="20"/>
          <w:lang w:val="en-US" w:eastAsia="zh-CN"/>
        </w:rPr>
        <w:t>Clinical utility of magnetic resonance imaging in first-episode psychosis.</w:t>
      </w:r>
      <w:r>
        <w:rPr>
          <w:rFonts w:hint="eastAsia" w:ascii="Arial" w:hAnsi="Arial" w:cs="Arial"/>
          <w:sz w:val="20"/>
          <w:szCs w:val="20"/>
          <w:lang w:val="en-US" w:eastAsia="zh-CN"/>
        </w:rPr>
        <w:t xml:space="preserve"> - Incidental radiological findings on brain magnetic resonance imaging in first-episode psychosis and chronic schizophrenia examines MRI findings in psychosis but does not specifically focus on neuroradiological abnormalities in first-episode psychosis.</w:t>
      </w:r>
    </w:p>
    <w:p>
      <w:pPr>
        <w:widowControl w:val="0"/>
        <w:numPr>
          <w:numId w:val="0"/>
        </w:numPr>
        <w:jc w:val="both"/>
        <w:rPr>
          <w:rFonts w:hint="default" w:ascii="Arial" w:hAnsi="Arial" w:cs="Arial"/>
          <w:sz w:val="20"/>
          <w:szCs w:val="20"/>
          <w:lang w:val="en-US" w:eastAsia="zh-CN"/>
        </w:rPr>
      </w:pPr>
    </w:p>
    <w:p>
      <w:pPr>
        <w:widowControl w:val="0"/>
        <w:numPr>
          <w:ilvl w:val="0"/>
          <w:numId w:val="3"/>
        </w:numPr>
        <w:ind w:left="0" w:leftChars="0" w:firstLine="0" w:firstLineChars="0"/>
        <w:jc w:val="both"/>
        <w:rPr>
          <w:rFonts w:hint="default" w:ascii="Arial" w:hAnsi="Arial" w:cs="Arial"/>
          <w:sz w:val="20"/>
          <w:szCs w:val="20"/>
          <w:lang w:val="en-US" w:eastAsia="zh-CN"/>
        </w:rPr>
      </w:pPr>
      <w:r>
        <w:rPr>
          <w:rFonts w:hint="default" w:ascii="Arial" w:hAnsi="Arial" w:cs="Arial"/>
          <w:sz w:val="20"/>
          <w:szCs w:val="20"/>
          <w:lang w:val="en-US" w:eastAsia="zh-CN"/>
        </w:rPr>
        <w:t>Colorectal Cancer Screening Programs in Latin America</w:t>
      </w:r>
      <w:r>
        <w:rPr>
          <w:rFonts w:hint="eastAsia" w:ascii="Arial" w:hAnsi="Arial" w:cs="Arial"/>
          <w:sz w:val="20"/>
          <w:szCs w:val="20"/>
          <w:lang w:val="en-US" w:eastAsia="zh-CN"/>
        </w:rPr>
        <w:t>:</w:t>
      </w:r>
    </w:p>
    <w:p>
      <w:pPr>
        <w:widowControl w:val="0"/>
        <w:numPr>
          <w:numId w:val="0"/>
        </w:numPr>
        <w:ind w:leftChars="0"/>
        <w:jc w:val="both"/>
        <w:rPr>
          <w:rFonts w:hint="eastAsia" w:ascii="Arial" w:hAnsi="Arial" w:cs="Arial"/>
          <w:sz w:val="20"/>
          <w:szCs w:val="20"/>
          <w:lang w:val="en-US" w:eastAsia="zh-CN"/>
        </w:rPr>
      </w:pPr>
    </w:p>
    <w:p>
      <w:pPr>
        <w:widowControl w:val="0"/>
        <w:numPr>
          <w:ilvl w:val="0"/>
          <w:numId w:val="12"/>
        </w:numPr>
        <w:ind w:leftChars="0"/>
        <w:jc w:val="both"/>
        <w:rPr>
          <w:rFonts w:hint="default" w:ascii="Arial" w:hAnsi="Arial" w:cs="Arial"/>
          <w:sz w:val="20"/>
          <w:szCs w:val="20"/>
          <w:lang w:val="en-US" w:eastAsia="zh-CN"/>
        </w:rPr>
      </w:pPr>
      <w:r>
        <w:rPr>
          <w:rFonts w:hint="default" w:ascii="Arial" w:hAnsi="Arial" w:cs="Arial"/>
          <w:sz w:val="20"/>
          <w:szCs w:val="20"/>
          <w:lang w:val="en-US" w:eastAsia="zh-CN"/>
        </w:rPr>
        <w:t>Article Title: 'Clinical impact of the immunochemical fecal occult blood test for colorectal cancer screening in Brazil.'</w:t>
      </w:r>
      <w:r>
        <w:rPr>
          <w:rFonts w:hint="eastAsia" w:ascii="Arial" w:hAnsi="Arial" w:cs="Arial"/>
          <w:sz w:val="20"/>
          <w:szCs w:val="20"/>
          <w:lang w:val="en-US" w:eastAsia="zh-CN"/>
        </w:rPr>
        <w:t xml:space="preserve"> </w:t>
      </w:r>
      <w:r>
        <w:rPr>
          <w:rFonts w:hint="default" w:ascii="Arial" w:hAnsi="Arial" w:cs="Arial"/>
          <w:sz w:val="20"/>
          <w:szCs w:val="20"/>
          <w:lang w:val="en-US" w:eastAsia="zh-CN"/>
        </w:rPr>
        <w:t>Reason: While this article focuses on the immunochemical fecal occult blood test for colorectal cancer screening in Brazil, it may not provide broader insights into colorectal cancer screening programs in Latin America.</w:t>
      </w:r>
    </w:p>
    <w:p>
      <w:pPr>
        <w:widowControl w:val="0"/>
        <w:numPr>
          <w:numId w:val="0"/>
        </w:numPr>
        <w:jc w:val="both"/>
        <w:rPr>
          <w:rFonts w:hint="default" w:ascii="Arial" w:hAnsi="Arial" w:cs="Arial"/>
          <w:sz w:val="20"/>
          <w:szCs w:val="20"/>
          <w:lang w:val="en-US" w:eastAsia="zh-CN"/>
        </w:rPr>
      </w:pPr>
    </w:p>
    <w:p>
      <w:pPr>
        <w:widowControl w:val="0"/>
        <w:numPr>
          <w:numId w:val="0"/>
        </w:numPr>
        <w:jc w:val="both"/>
        <w:rPr>
          <w:rFonts w:hint="default" w:ascii="Arial" w:hAnsi="Arial" w:cs="Arial"/>
          <w:sz w:val="20"/>
          <w:szCs w:val="20"/>
          <w:lang w:val="en-US" w:eastAsia="zh-CN"/>
        </w:rPr>
      </w:pPr>
    </w:p>
    <w:p>
      <w:pPr>
        <w:widowControl w:val="0"/>
        <w:numPr>
          <w:ilvl w:val="0"/>
          <w:numId w:val="3"/>
        </w:numPr>
        <w:ind w:left="0" w:leftChars="0" w:firstLine="0" w:firstLineChars="0"/>
        <w:jc w:val="both"/>
        <w:rPr>
          <w:rFonts w:hint="eastAsia" w:ascii="Arial" w:hAnsi="Arial" w:cs="Arial"/>
          <w:sz w:val="20"/>
          <w:szCs w:val="20"/>
          <w:lang w:val="en-US" w:eastAsia="zh-CN"/>
        </w:rPr>
      </w:pPr>
      <w:r>
        <w:rPr>
          <w:rFonts w:hint="eastAsia" w:ascii="Arial" w:hAnsi="Arial" w:cs="Arial"/>
          <w:sz w:val="20"/>
          <w:szCs w:val="20"/>
          <w:lang w:val="en-US" w:eastAsia="zh-CN"/>
        </w:rPr>
        <w:t>Treatment Rates for Mental Disorders Among Children and Adolescents</w:t>
      </w:r>
    </w:p>
    <w:p>
      <w:pPr>
        <w:widowControl w:val="0"/>
        <w:numPr>
          <w:numId w:val="0"/>
        </w:numPr>
        <w:jc w:val="both"/>
        <w:rPr>
          <w:rFonts w:hint="eastAsia" w:ascii="Arial" w:hAnsi="Arial" w:cs="Arial"/>
          <w:sz w:val="20"/>
          <w:szCs w:val="20"/>
          <w:lang w:val="en-US" w:eastAsia="zh-CN"/>
        </w:rPr>
      </w:pPr>
    </w:p>
    <w:p>
      <w:pPr>
        <w:widowControl w:val="0"/>
        <w:numPr>
          <w:ilvl w:val="0"/>
          <w:numId w:val="13"/>
        </w:numPr>
        <w:jc w:val="both"/>
        <w:rPr>
          <w:rFonts w:hint="default" w:ascii="Arial" w:hAnsi="Arial" w:cs="Arial"/>
          <w:sz w:val="20"/>
          <w:szCs w:val="20"/>
          <w:lang w:val="en-US" w:eastAsia="zh-CN"/>
        </w:rPr>
      </w:pPr>
      <w:r>
        <w:rPr>
          <w:rFonts w:hint="default" w:ascii="Arial" w:hAnsi="Arial" w:cs="Arial"/>
          <w:sz w:val="20"/>
          <w:szCs w:val="20"/>
          <w:lang w:val="en-US" w:eastAsia="zh-CN"/>
        </w:rPr>
        <w:t>Article Title: Seeking and accessing professional support for child anxiety in a community sample</w:t>
      </w:r>
      <w:r>
        <w:rPr>
          <w:rFonts w:hint="eastAsia" w:ascii="Arial" w:hAnsi="Arial" w:cs="Arial"/>
          <w:sz w:val="20"/>
          <w:szCs w:val="20"/>
          <w:lang w:val="en-US" w:eastAsia="zh-CN"/>
        </w:rPr>
        <w:t xml:space="preserve">. </w:t>
      </w:r>
      <w:r>
        <w:rPr>
          <w:rFonts w:hint="default" w:ascii="Arial" w:hAnsi="Arial" w:cs="Arial"/>
          <w:sz w:val="20"/>
          <w:szCs w:val="20"/>
          <w:lang w:val="en-US" w:eastAsia="zh-CN"/>
        </w:rPr>
        <w:t>Reason: While this article does touch on the topic of seeking professional support for child anxiety, it does not provide specific data on treatment rates for mental disorders among children and adolescents. It may provide some context or background information, but it is not directly useful for the systematic review or meta-analysis topic.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Malgun Gothic">
    <w:panose1 w:val="020B0503020000020004"/>
    <w:charset w:val="81"/>
    <w:family w:val="auto"/>
    <w:pitch w:val="default"/>
    <w:sig w:usb0="9000002F" w:usb1="29D77CFB" w:usb2="00000012" w:usb3="00000000" w:csb0="00080001" w:csb1="00000000"/>
  </w:font>
  <w:font w:name="Consolas">
    <w:panose1 w:val="020B0609020204030204"/>
    <w:charset w:val="00"/>
    <w:family w:val="auto"/>
    <w:pitch w:val="default"/>
    <w:sig w:usb0="E00006FF" w:usb1="0000FCFF" w:usb2="00000001" w:usb3="00000000" w:csb0="6000019F" w:csb1="DFD7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111D6"/>
    <w:multiLevelType w:val="singleLevel"/>
    <w:tmpl w:val="B6C111D6"/>
    <w:lvl w:ilvl="0" w:tentative="0">
      <w:start w:val="1"/>
      <w:numFmt w:val="decimal"/>
      <w:suff w:val="space"/>
      <w:lvlText w:val="%1."/>
      <w:lvlJc w:val="left"/>
    </w:lvl>
  </w:abstractNum>
  <w:abstractNum w:abstractNumId="1">
    <w:nsid w:val="B7302DF5"/>
    <w:multiLevelType w:val="singleLevel"/>
    <w:tmpl w:val="B7302DF5"/>
    <w:lvl w:ilvl="0" w:tentative="0">
      <w:start w:val="1"/>
      <w:numFmt w:val="lowerLetter"/>
      <w:suff w:val="space"/>
      <w:lvlText w:val="%1."/>
      <w:lvlJc w:val="left"/>
    </w:lvl>
  </w:abstractNum>
  <w:abstractNum w:abstractNumId="2">
    <w:nsid w:val="D5E49E25"/>
    <w:multiLevelType w:val="singleLevel"/>
    <w:tmpl w:val="D5E49E25"/>
    <w:lvl w:ilvl="0" w:tentative="0">
      <w:start w:val="1"/>
      <w:numFmt w:val="lowerLetter"/>
      <w:suff w:val="space"/>
      <w:lvlText w:val="%1."/>
      <w:lvlJc w:val="left"/>
    </w:lvl>
  </w:abstractNum>
  <w:abstractNum w:abstractNumId="3">
    <w:nsid w:val="E0671BF3"/>
    <w:multiLevelType w:val="singleLevel"/>
    <w:tmpl w:val="E0671BF3"/>
    <w:lvl w:ilvl="0" w:tentative="0">
      <w:start w:val="1"/>
      <w:numFmt w:val="lowerLetter"/>
      <w:suff w:val="space"/>
      <w:lvlText w:val="%1."/>
      <w:lvlJc w:val="left"/>
    </w:lvl>
  </w:abstractNum>
  <w:abstractNum w:abstractNumId="4">
    <w:nsid w:val="ED44B15C"/>
    <w:multiLevelType w:val="singleLevel"/>
    <w:tmpl w:val="ED44B15C"/>
    <w:lvl w:ilvl="0" w:tentative="0">
      <w:start w:val="1"/>
      <w:numFmt w:val="lowerLetter"/>
      <w:suff w:val="space"/>
      <w:lvlText w:val="%1."/>
      <w:lvlJc w:val="left"/>
    </w:lvl>
  </w:abstractNum>
  <w:abstractNum w:abstractNumId="5">
    <w:nsid w:val="F5F46D70"/>
    <w:multiLevelType w:val="singleLevel"/>
    <w:tmpl w:val="F5F46D70"/>
    <w:lvl w:ilvl="0" w:tentative="0">
      <w:start w:val="1"/>
      <w:numFmt w:val="lowerLetter"/>
      <w:suff w:val="space"/>
      <w:lvlText w:val="%1."/>
      <w:lvlJc w:val="left"/>
    </w:lvl>
  </w:abstractNum>
  <w:abstractNum w:abstractNumId="6">
    <w:nsid w:val="0BC3AFAA"/>
    <w:multiLevelType w:val="singleLevel"/>
    <w:tmpl w:val="0BC3AFAA"/>
    <w:lvl w:ilvl="0" w:tentative="0">
      <w:start w:val="1"/>
      <w:numFmt w:val="lowerLetter"/>
      <w:suff w:val="space"/>
      <w:lvlText w:val="%1."/>
      <w:lvlJc w:val="left"/>
    </w:lvl>
  </w:abstractNum>
  <w:abstractNum w:abstractNumId="7">
    <w:nsid w:val="189E5804"/>
    <w:multiLevelType w:val="singleLevel"/>
    <w:tmpl w:val="189E5804"/>
    <w:lvl w:ilvl="0" w:tentative="0">
      <w:start w:val="1"/>
      <w:numFmt w:val="lowerLetter"/>
      <w:suff w:val="space"/>
      <w:lvlText w:val="%1."/>
      <w:lvlJc w:val="left"/>
    </w:lvl>
  </w:abstractNum>
  <w:abstractNum w:abstractNumId="8">
    <w:nsid w:val="5CDFA382"/>
    <w:multiLevelType w:val="singleLevel"/>
    <w:tmpl w:val="5CDFA382"/>
    <w:lvl w:ilvl="0" w:tentative="0">
      <w:start w:val="1"/>
      <w:numFmt w:val="decimal"/>
      <w:suff w:val="space"/>
      <w:lvlText w:val="%1."/>
      <w:lvlJc w:val="left"/>
    </w:lvl>
  </w:abstractNum>
  <w:abstractNum w:abstractNumId="9">
    <w:nsid w:val="5FC4155B"/>
    <w:multiLevelType w:val="singleLevel"/>
    <w:tmpl w:val="5FC4155B"/>
    <w:lvl w:ilvl="0" w:tentative="0">
      <w:start w:val="1"/>
      <w:numFmt w:val="lowerLetter"/>
      <w:suff w:val="space"/>
      <w:lvlText w:val="%1."/>
      <w:lvlJc w:val="left"/>
    </w:lvl>
  </w:abstractNum>
  <w:abstractNum w:abstractNumId="10">
    <w:nsid w:val="601C8C99"/>
    <w:multiLevelType w:val="singleLevel"/>
    <w:tmpl w:val="601C8C99"/>
    <w:lvl w:ilvl="0" w:tentative="0">
      <w:start w:val="1"/>
      <w:numFmt w:val="lowerLetter"/>
      <w:suff w:val="space"/>
      <w:lvlText w:val="%1."/>
      <w:lvlJc w:val="left"/>
    </w:lvl>
  </w:abstractNum>
  <w:abstractNum w:abstractNumId="11">
    <w:nsid w:val="72388DCA"/>
    <w:multiLevelType w:val="singleLevel"/>
    <w:tmpl w:val="72388DCA"/>
    <w:lvl w:ilvl="0" w:tentative="0">
      <w:start w:val="1"/>
      <w:numFmt w:val="lowerLetter"/>
      <w:suff w:val="space"/>
      <w:lvlText w:val="%1."/>
      <w:lvlJc w:val="left"/>
    </w:lvl>
  </w:abstractNum>
  <w:abstractNum w:abstractNumId="12">
    <w:nsid w:val="770776B2"/>
    <w:multiLevelType w:val="singleLevel"/>
    <w:tmpl w:val="770776B2"/>
    <w:lvl w:ilvl="0" w:tentative="0">
      <w:start w:val="1"/>
      <w:numFmt w:val="lowerLetter"/>
      <w:suff w:val="space"/>
      <w:lvlText w:val="%1."/>
      <w:lvlJc w:val="left"/>
    </w:lvl>
  </w:abstractNum>
  <w:num w:numId="1">
    <w:abstractNumId w:val="0"/>
  </w:num>
  <w:num w:numId="2">
    <w:abstractNumId w:val="7"/>
  </w:num>
  <w:num w:numId="3">
    <w:abstractNumId w:val="8"/>
  </w:num>
  <w:num w:numId="4">
    <w:abstractNumId w:val="11"/>
  </w:num>
  <w:num w:numId="5">
    <w:abstractNumId w:val="3"/>
  </w:num>
  <w:num w:numId="6">
    <w:abstractNumId w:val="5"/>
  </w:num>
  <w:num w:numId="7">
    <w:abstractNumId w:val="6"/>
  </w:num>
  <w:num w:numId="8">
    <w:abstractNumId w:val="10"/>
  </w:num>
  <w:num w:numId="9">
    <w:abstractNumId w:val="12"/>
  </w:num>
  <w:num w:numId="10">
    <w:abstractNumId w:val="1"/>
  </w:num>
  <w:num w:numId="11">
    <w:abstractNumId w:val="2"/>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VlZGE5NDZmNGQ1MWZiNTM4MzZkZjI1NDQ1MzY2MjgifQ=="/>
  </w:docVars>
  <w:rsids>
    <w:rsidRoot w:val="00000000"/>
    <w:rsid w:val="0EC20A2E"/>
    <w:rsid w:val="28E933D0"/>
    <w:rsid w:val="2FC97BC1"/>
    <w:rsid w:val="2FEB755A"/>
    <w:rsid w:val="32BE0058"/>
    <w:rsid w:val="32C80C9B"/>
    <w:rsid w:val="34155949"/>
    <w:rsid w:val="47E97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1390</Words>
  <Characters>9069</Characters>
  <Lines>0</Lines>
  <Paragraphs>0</Paragraphs>
  <TotalTime>1268</TotalTime>
  <ScaleCrop>false</ScaleCrop>
  <LinksUpToDate>false</LinksUpToDate>
  <CharactersWithSpaces>10410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2024-05-07T13:54:15Z</dcterms:created>
  <dc:creator>90588</dc:creator>
  <cp:lastModifiedBy>回忆里的疯狂</cp:lastModifiedBy>
  <dcterms:modified xsi:type="dcterms:W3CDTF">2024-05-08T11:59:00Z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594D8BD7C7C947EC91300B608B311760_12</vt:lpwstr>
  </property>
</Properties>
</file>