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Fine-Tuning vs. In-Context Learning Under Data Scarcity:</w:t>
      </w:r>
    </w:p>
    <w:p>
      <w:pPr>
        <w:spacing w:after="10"/>
        <w:jc w:val="center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Can Transformers Learn Statistical Reasoning from 192 Examples?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Zanwen Fu  |  ECE 590.09  |  Spring 2026  |  Solo Project</w:t>
      </w:r>
    </w:p>
    <w:p>
      <w:pPr>
        <w:pStyle w:val="Heading2"/>
      </w:pPr>
      <w:r>
        <w:t xml:space="preserve">1. Motivation</w:t>
      </w:r>
    </w:p>
    <w:p>
      <w:pPr>
        <w:spacing w:after="40"/>
      </w:pPr>
      <w:r>
        <w:t xml:space="preserve">Many real-world prediction tasks involve structured numerical data with scarce labeled examples (medical, legal, financial). This project investigates whether fine-tuning a transformer on as few as 192 labeled examples can teach it to reason over structured statistics, or whether prompting-based approaches achieve comparable performance without parameter updates. We use FIFA World Cup match prediction as a controlled testbed: the task requires integrating dozens of numerical player features into a categorical outcome with unambiguous ground truth, and the dataset is naturally constrained (~64 matches per tournament). By comparing fine-tuning against in-context learning and chain-of-thought prompting across varying data budgets, the project examines three core course mechanisms: parameter adaptation (L12), gradient-free in-context learning (L18-L19), and chain-of-thought reasoning (L17), with attention analysis (L8-L10) as an interpretability lens.</w:t>
      </w:r>
    </w:p>
    <w:p>
      <w:pPr>
        <w:pStyle w:val="Heading2"/>
      </w:pPr>
      <w:r>
        <w:t xml:space="preserve">2. Dataset</w:t>
      </w:r>
    </w:p>
    <w:p>
      <w:pPr>
        <w:spacing w:after="40"/>
      </w:pPr>
      <w:r>
        <w:t xml:space="preserve">256 FIFA World Cup matches across four tournaments (2010-2022; 64 each) with per-team aggregated player statistics from API-Football. The underlying raw dataset contains 100,000+ player-season entries spanning all major leagues. For each match, both teams' starting XI are identified and each player's league statistics from </w:t>
      </w:r>
      <w:r>
        <w:rPr>
          <w:i/>
          <w:iCs/>
        </w:rPr>
        <w:t xml:space="preserve">prior seasons only</w:t>
      </w:r>
      <w:r>
        <w:t xml:space="preserve"> are aggregated into a team profile (squad goals, average rating, pass completion, top scorer output, defensive stats) to prevent temporal leakage. Training: 192 matches (2010-2018) x 2 variants (named + anonymized) = 384. Evaluation: 64 matches (2022) x 2 = 128. The small sample count is inherent to the domain (World Cups occur every 4 years with 64 matches) and is central to the research question rather than a limitation to work around.</w:t>
      </w:r>
    </w:p>
    <w:p>
      <w:pPr>
        <w:pStyle w:val="Heading2"/>
      </w:pPr>
      <w:r>
        <w:t xml:space="preserve">3. Approach</w:t>
      </w:r>
    </w:p>
    <w:p>
      <w:pPr>
        <w:spacing w:after="20"/>
        <w:ind w:left="180"/>
      </w:pPr>
      <w:r>
        <w:rPr>
          <w:b/>
          <w:bCs/>
        </w:rPr>
        <w:t xml:space="preserve">(a) QLoRA Fine-Tuning: </w:t>
      </w:r>
      <w:r>
        <w:t xml:space="preserve">Llama 3.1 8B Instruct, 4-bit quantized LoRA (rank 16, alpha 32). Tests whether parameter adaptation can teach the model to weight statistical features for a task whose distribution differs fundamentally from the pre-training corpus, and where fine-tuning may overfit given only 192 unique matches. Adapter: zanwenfu/football-llm-qlora.</w:t>
      </w:r>
    </w:p>
    <w:p>
      <w:pPr>
        <w:spacing w:after="20"/>
        <w:ind w:left="180"/>
      </w:pPr>
      <w:r>
        <w:rPr>
          <w:b/>
          <w:bCs/>
        </w:rPr>
        <w:t xml:space="preserve">(b) In-Context Learning: </w:t>
      </w:r>
      <w:r>
        <w:t xml:space="preserve">Base model given 5 few-shot demonstrations (no parameter updates), stratified by outcome class (2 home/2 away/1 draw) from the training set. Tests whether pre-trained representations already support this task given appropriate formatting (L18-L19).</w:t>
      </w:r>
    </w:p>
    <w:p>
      <w:pPr>
        <w:spacing w:after="40"/>
        <w:ind w:left="180"/>
      </w:pPr>
      <w:r>
        <w:rPr>
          <w:b/>
          <w:bCs/>
        </w:rPr>
        <w:t xml:space="preserve">(c) Chain-of-Thought Prompting: </w:t>
      </w:r>
      <w:r>
        <w:t xml:space="preserve">Base model given a 5-step reasoning template: compare goal output, top scorer quality, defensive stats, weigh conflicts, predict. Tests whether reasoning scaffolding (L17) narrows the gap with fine-tuning without parameter updates.</w:t>
      </w:r>
    </w:p>
    <w:p>
      <w:pPr>
        <w:pStyle w:val="Heading2"/>
      </w:pPr>
      <w:r>
        <w:t xml:space="preserve">4. Hypotheses</w:t>
      </w:r>
    </w:p>
    <w:p>
      <w:pPr>
        <w:spacing w:after="40"/>
      </w:pPr>
      <w:r>
        <w:rPr>
          <w:b/>
          <w:bCs/>
        </w:rPr>
        <w:t xml:space="preserve">H1: </w:t>
      </w:r>
      <w:r>
        <w:t xml:space="preserve">Fine-tuning outperforms ICL because weighting statistical features requires gradient updates beyond what few demonstrations provide. </w:t>
      </w:r>
      <w:r>
        <w:rPr>
          <w:b/>
          <w:bCs/>
        </w:rPr>
        <w:t xml:space="preserve">H2: </w:t>
      </w:r>
      <w:r>
        <w:t xml:space="preserve">CoT narrows the gap via explicit reasoning structure compensating for lack of parameter adaptation. </w:t>
      </w:r>
      <w:r>
        <w:rPr>
          <w:b/>
          <w:bCs/>
        </w:rPr>
        <w:t xml:space="preserve">H3: </w:t>
      </w:r>
      <w:r>
        <w:t xml:space="preserve">The fine-tuned model reasons from statistics, not memorized team reputations (similar accuracy on named vs. anonymized). </w:t>
      </w:r>
      <w:r>
        <w:rPr>
          <w:b/>
          <w:bCs/>
        </w:rPr>
        <w:t xml:space="preserve">H4: </w:t>
      </w:r>
      <w:r>
        <w:t xml:space="preserve">A crossover exists in the scaling ablation below which ICL outperforms fine-tuning (insufficient data for convergence). If H1 is rejected, this implies the bottleneck is task formatting rather than parameter adaptation.</w:t>
      </w:r>
    </w:p>
    <w:p>
      <w:pPr>
        <w:pStyle w:val="Heading2"/>
      </w:pPr>
      <w:r>
        <w:t xml:space="preserve">5. Analysis Plan</w:t>
      </w:r>
    </w:p>
    <w:p>
      <w:pPr>
        <w:spacing w:after="20"/>
      </w:pPr>
      <w:r>
        <w:rPr>
          <w:b/>
          <w:bCs/>
        </w:rPr>
        <w:t xml:space="preserve">Data Scaling Ablation: </w:t>
      </w:r>
      <w:r>
        <w:t xml:space="preserve">Fine-tune on 48, 96, 192, and 384 samples (1, 2, 3 tournaments, and 3 + anonymized augmentation). Plot accuracy against data budget alongside fixed ICL/CoT baselines. Reveals where fine-tuning becomes worthwhile (L20).</w:t>
      </w:r>
    </w:p>
    <w:p>
      <w:pPr>
        <w:spacing w:after="20"/>
      </w:pPr>
      <w:r>
        <w:rPr>
          <w:b/>
          <w:bCs/>
        </w:rPr>
        <w:t xml:space="preserve">Memorization vs. Reasoning: </w:t>
      </w:r>
      <w:r>
        <w:t xml:space="preserve">Each eval match tested with real team names and anonymized labels (Team A/B). Preliminary results support H3: anonymized accuracy (54.7%) exceeds named (50.0%), suggesting team names may distract the model from statistical evidence via conflicting pre-training priors.</w:t>
      </w:r>
    </w:p>
    <w:p>
      <w:pPr>
        <w:spacing w:after="20"/>
      </w:pPr>
      <w:r>
        <w:rPr>
          <w:b/>
          <w:bCs/>
        </w:rPr>
        <w:t xml:space="preserve">Attention Analysis (L8-L10): </w:t>
      </w:r>
      <w:r>
        <w:t xml:space="preserve">Extract weights at layers 1, 8, 16, 24, 32; compare distributions over statistical tokens (goals, pass accuracy, names) between correct/incorrect predictions. Per Jain &amp; Wallace (2019), uninterpretable deeper-layer patterns would itself indicate limits of attention-based explanation for numerical tasks.</w:t>
      </w:r>
    </w:p>
    <w:p>
      <w:pPr>
        <w:spacing w:after="40"/>
      </w:pPr>
      <w:r>
        <w:rPr>
          <w:b/>
          <w:bCs/>
        </w:rPr>
        <w:t xml:space="preserve">Error Analysis: </w:t>
      </w:r>
      <w:r>
        <w:t xml:space="preserve">Breakdown by match margin, stage (group vs. knockout), and cases where pre-training priors conflict with statistical evidence.</w:t>
      </w:r>
    </w:p>
    <w:p>
      <w:pPr>
        <w:pStyle w:val="Heading2"/>
      </w:pPr>
      <w:r>
        <w:t xml:space="preserve">6. Preliminary Results</w:t>
      </w:r>
    </w:p>
    <w:p>
      <w:pPr>
        <w:spacing w:after="20"/>
      </w:pPr>
      <w:r>
        <w:t xml:space="preserve">QLoRA fine-tuning is complete. Results on the 2022 held-out set (128 samples; all models achieved 100% parse rate):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00"/>
        <w:gridCol w:w="2168"/>
        <w:gridCol w:w="21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Result Acc</w:t>
            </w:r>
          </w:p>
        </w:tc>
        <w:tc>
          <w:tcPr>
            <w:tcW w:type="dxa" w:w="2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Score EM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Goal MAE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Football-LLM (QLoRA, n=384)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52.3%</w:t>
            </w:r>
          </w:p>
        </w:tc>
        <w:tc>
          <w:tcPr>
            <w:tcW w:type="dxa" w:w="2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29.7%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1.29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Base Llama 3.1 8B (zero-shot)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45.3%</w:t>
            </w:r>
          </w:p>
        </w:tc>
        <w:tc>
          <w:tcPr>
            <w:tcW w:type="dxa" w:w="2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2.13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Baseline: Always Home Win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45.3%</w:t>
            </w:r>
          </w:p>
        </w:tc>
        <w:tc>
          <w:tcPr>
            <w:tcW w:type="dxa" w:w="2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10.9%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1.11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Baseline: Random Weighted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35.9%</w:t>
            </w:r>
          </w:p>
        </w:tc>
        <w:tc>
          <w:tcPr>
            <w:tcW w:type="dxa" w:w="2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1.27</w:t>
            </w:r>
          </w:p>
        </w:tc>
      </w:tr>
    </w:tbl>
    <w:p>
      <w:pPr>
        <w:spacing w:after="40" w:before="25"/>
      </w:pPr>
      <w:r>
        <w:t xml:space="preserve">Fine-tuning achieves the highest result accuracy (+7% over base and majority-class baselines) and dramatically better exact score prediction (29.7% vs. 0%). The Always Home Win baseline achieves lower MAE (1.11) by predicting common scorelines; fine-tuning trades slightly higher MAE for better result discrimination. Remaining: ICL/CoT experiments, scaling ablation, attention visualization, error analysis.</w:t>
      </w:r>
    </w:p>
    <w:p>
      <w:pPr>
        <w:pStyle w:val="Heading2"/>
      </w:pPr>
      <w:r>
        <w:t xml:space="preserve">7. Timeline</w:t>
      </w:r>
    </w:p>
    <w:p>
      <w:pPr>
        <w:spacing w:after="15"/>
      </w:pPr>
      <w:r>
        <w:rPr>
          <w:b/>
          <w:bCs/>
        </w:rPr>
        <w:t xml:space="preserve">Weeks 1-2 (Mar 20 - Apr 2): </w:t>
      </w:r>
      <w:r>
        <w:t xml:space="preserve">ICL and CoT baselines; data scaling ablation (4 fine-tuning runs at 48/96/192/384 samples).  </w:t>
      </w:r>
      <w:r>
        <w:rPr>
          <w:b/>
          <w:bCs/>
        </w:rPr>
        <w:t xml:space="preserve">Weeks 3-4 (Apr 2 - 14): </w:t>
      </w:r>
      <w:r>
        <w:t xml:space="preserve">Attention visualization; overfitting analysis via train/val loss curves; error analysis by match type.  </w:t>
      </w:r>
      <w:r>
        <w:rPr>
          <w:b/>
          <w:bCs/>
        </w:rPr>
        <w:t xml:space="preserve">Week 5 (Apr 14 - 17): </w:t>
      </w:r>
      <w:r>
        <w:t xml:space="preserve">Report.  </w:t>
      </w:r>
      <w:r>
        <w:rPr>
          <w:b/>
          <w:bCs/>
        </w:rPr>
        <w:t xml:space="preserve">Week 6 (Apr 17 - 28): </w:t>
      </w:r>
      <w:r>
        <w:t xml:space="preserve">Poster and presentation.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5" w:before="80"/>
      <w:outlineLvl w:val="1"/>
    </w:pPr>
    <w:rPr>
      <w:rFonts w:ascii="Times New Roman" w:cs="Times New Roman" w:eastAsia="Times New Roman" w:hAnsi="Times New Roman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2026-03-20T21:15:47.495Z</dcterms:created>
  <dcterms:modified xsi:type="dcterms:W3CDTF">2026-03-20T21:15:47.496Z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