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07"/>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D54AA9" w:rsidRPr="00D54AA9" w14:paraId="06D1CAC9" w14:textId="77777777" w:rsidTr="00D54AA9">
        <w:tblPrEx>
          <w:tblCellMar>
            <w:top w:w="0" w:type="dxa"/>
            <w:bottom w:w="0" w:type="dxa"/>
          </w:tblCellMar>
        </w:tblPrEx>
        <w:tc>
          <w:tcPr>
            <w:tcW w:w="9360" w:type="dxa"/>
            <w:gridSpan w:val="3"/>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vAlign w:val="center"/>
          </w:tcPr>
          <w:p w14:paraId="74E4C11F" w14:textId="77777777" w:rsidR="00D54AA9" w:rsidRPr="00D54AA9" w:rsidRDefault="00D54AA9" w:rsidP="00D54AA9">
            <w:pPr>
              <w:spacing w:before="120" w:after="120"/>
              <w:jc w:val="center"/>
              <w:rPr>
                <w:sz w:val="22"/>
                <w:szCs w:val="22"/>
              </w:rPr>
            </w:pPr>
            <w:r w:rsidRPr="00D54AA9">
              <w:rPr>
                <w:b/>
                <w:bCs/>
                <w:sz w:val="22"/>
                <w:szCs w:val="22"/>
              </w:rPr>
              <w:t>Core Logic Design of Trading Strategies</w:t>
            </w:r>
          </w:p>
        </w:tc>
      </w:tr>
      <w:tr w:rsidR="00D54AA9" w:rsidRPr="00D54AA9" w14:paraId="225EC66F" w14:textId="77777777" w:rsidTr="00D54AA9">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vAlign w:val="center"/>
          </w:tcPr>
          <w:p w14:paraId="395D328C" w14:textId="77777777" w:rsidR="00D54AA9" w:rsidRPr="00D54AA9" w:rsidRDefault="00D54AA9" w:rsidP="00D54AA9">
            <w:pPr>
              <w:spacing w:before="60" w:after="60"/>
              <w:rPr>
                <w:sz w:val="22"/>
                <w:szCs w:val="22"/>
              </w:rPr>
            </w:pPr>
            <w:r w:rsidRPr="00D54AA9">
              <w:rPr>
                <w:b/>
                <w:bCs/>
                <w:sz w:val="22"/>
                <w:szCs w:val="22"/>
              </w:rPr>
              <w:t>Targeting Market</w:t>
            </w:r>
          </w:p>
        </w:tc>
        <w:tc>
          <w:tcPr>
            <w:tcW w:w="71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69012C" w14:textId="77777777" w:rsidR="00D54AA9" w:rsidRPr="00D54AA9" w:rsidRDefault="00D54AA9" w:rsidP="00D54AA9">
            <w:pPr>
              <w:spacing w:before="60" w:after="60"/>
              <w:rPr>
                <w:sz w:val="22"/>
                <w:szCs w:val="22"/>
              </w:rPr>
            </w:pPr>
            <w:r w:rsidRPr="00D54AA9">
              <w:rPr>
                <w:sz w:val="22"/>
                <w:szCs w:val="22"/>
              </w:rPr>
              <w:t>FIFA World Cup match outcome betting markets. Pre-match win/draw/loss wagers on regulated sportsbooks.</w:t>
            </w:r>
          </w:p>
        </w:tc>
      </w:tr>
      <w:tr w:rsidR="00D54AA9" w:rsidRPr="00D54AA9" w14:paraId="7A73D4A1" w14:textId="77777777" w:rsidTr="00D54AA9">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vAlign w:val="center"/>
          </w:tcPr>
          <w:p w14:paraId="28EF54CF" w14:textId="77777777" w:rsidR="00D54AA9" w:rsidRPr="00D54AA9" w:rsidRDefault="00D54AA9" w:rsidP="00D54AA9">
            <w:pPr>
              <w:spacing w:before="60" w:after="60"/>
              <w:rPr>
                <w:sz w:val="22"/>
                <w:szCs w:val="22"/>
              </w:rPr>
            </w:pPr>
            <w:r w:rsidRPr="00D54AA9">
              <w:rPr>
                <w:b/>
                <w:bCs/>
                <w:sz w:val="22"/>
                <w:szCs w:val="22"/>
              </w:rPr>
              <w:t>Phenomena Description</w:t>
            </w:r>
            <w:r w:rsidRPr="00D54AA9">
              <w:rPr>
                <w:sz w:val="22"/>
                <w:szCs w:val="22"/>
              </w:rPr>
              <w:t xml:space="preserve"> </w:t>
            </w:r>
            <w:r w:rsidRPr="00D54AA9">
              <w:rPr>
                <w:rFonts w:ascii="Segoe UI Symbol" w:eastAsia="Segoe UI Symbol" w:hAnsi="Segoe UI Symbol" w:cs="Segoe UI Symbol"/>
                <w:sz w:val="22"/>
                <w:szCs w:val="22"/>
              </w:rPr>
              <w:t>☑</w:t>
            </w:r>
          </w:p>
        </w:tc>
        <w:tc>
          <w:tcPr>
            <w:tcW w:w="22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vAlign w:val="center"/>
          </w:tcPr>
          <w:p w14:paraId="009563CB" w14:textId="77777777" w:rsidR="00D54AA9" w:rsidRPr="00D54AA9" w:rsidRDefault="00D54AA9" w:rsidP="00D54AA9">
            <w:pPr>
              <w:spacing w:before="60" w:after="60"/>
              <w:rPr>
                <w:sz w:val="22"/>
                <w:szCs w:val="22"/>
              </w:rPr>
            </w:pPr>
            <w:r w:rsidRPr="00D54AA9">
              <w:rPr>
                <w:b/>
                <w:bCs/>
                <w:sz w:val="22"/>
                <w:szCs w:val="22"/>
              </w:rPr>
              <w:t>Theoretical Framework</w:t>
            </w:r>
            <w:r w:rsidRPr="00D54AA9">
              <w:rPr>
                <w:sz w:val="22"/>
                <w:szCs w:val="22"/>
              </w:rPr>
              <w:t xml:space="preserve"> </w:t>
            </w:r>
            <w:r w:rsidRPr="00D54AA9">
              <w:rPr>
                <w:rFonts w:ascii="Segoe UI Symbol" w:eastAsia="Segoe UI Symbol" w:hAnsi="Segoe UI Symbol" w:cs="Segoe UI Symbol"/>
                <w:sz w:val="22"/>
                <w:szCs w:val="22"/>
              </w:rPr>
              <w:t>☐</w:t>
            </w:r>
          </w:p>
        </w:tc>
        <w:tc>
          <w:tcPr>
            <w:tcW w:w="4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20702" w14:textId="77777777" w:rsidR="00D54AA9" w:rsidRPr="00D54AA9" w:rsidRDefault="00D54AA9" w:rsidP="00D54AA9">
            <w:pPr>
              <w:spacing w:before="60" w:after="60"/>
              <w:rPr>
                <w:sz w:val="22"/>
                <w:szCs w:val="22"/>
              </w:rPr>
            </w:pPr>
            <w:r w:rsidRPr="00D54AA9">
              <w:rPr>
                <w:sz w:val="22"/>
                <w:szCs w:val="22"/>
              </w:rPr>
              <w:t xml:space="preserve">Betting markets for World Cup matches are disproportionately influenced by team reputation, media narratives, and casual bettor sentiment. This leads to systematic </w:t>
            </w:r>
            <w:proofErr w:type="spellStart"/>
            <w:r w:rsidRPr="00D54AA9">
              <w:rPr>
                <w:sz w:val="22"/>
                <w:szCs w:val="22"/>
              </w:rPr>
              <w:t>mispricings</w:t>
            </w:r>
            <w:proofErr w:type="spellEnd"/>
            <w:r w:rsidRPr="00D54AA9">
              <w:rPr>
                <w:sz w:val="22"/>
                <w:szCs w:val="22"/>
              </w:rPr>
              <w:t>, especially around upsets where a lesser-known team has strong underlying player-level statistics but low public perception.</w:t>
            </w:r>
          </w:p>
        </w:tc>
      </w:tr>
      <w:tr w:rsidR="00D54AA9" w:rsidRPr="00D54AA9" w14:paraId="3CC5AEAE" w14:textId="77777777" w:rsidTr="00D54AA9">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vAlign w:val="center"/>
          </w:tcPr>
          <w:p w14:paraId="48B12849" w14:textId="77777777" w:rsidR="00D54AA9" w:rsidRPr="00D54AA9" w:rsidRDefault="00D54AA9" w:rsidP="00D54AA9">
            <w:pPr>
              <w:spacing w:before="60" w:after="60"/>
              <w:rPr>
                <w:sz w:val="22"/>
                <w:szCs w:val="22"/>
              </w:rPr>
            </w:pPr>
            <w:r w:rsidRPr="00D54AA9">
              <w:rPr>
                <w:b/>
                <w:bCs/>
                <w:sz w:val="22"/>
                <w:szCs w:val="22"/>
              </w:rPr>
              <w:t>Analytical Framework</w:t>
            </w:r>
            <w:r w:rsidRPr="00D54AA9">
              <w:rPr>
                <w:sz w:val="22"/>
                <w:szCs w:val="22"/>
              </w:rPr>
              <w:t xml:space="preserve"> </w:t>
            </w:r>
            <w:r w:rsidRPr="00D54AA9">
              <w:rPr>
                <w:rFonts w:ascii="Segoe UI Symbol" w:eastAsia="Segoe UI Symbol" w:hAnsi="Segoe UI Symbol" w:cs="Segoe UI Symbol"/>
                <w:sz w:val="22"/>
                <w:szCs w:val="22"/>
              </w:rPr>
              <w:t>☑</w:t>
            </w:r>
          </w:p>
        </w:tc>
        <w:tc>
          <w:tcPr>
            <w:tcW w:w="22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vAlign w:val="center"/>
          </w:tcPr>
          <w:p w14:paraId="4F6365D7" w14:textId="77777777" w:rsidR="00D54AA9" w:rsidRPr="00D54AA9" w:rsidRDefault="00D54AA9" w:rsidP="00D54AA9">
            <w:pPr>
              <w:spacing w:before="60" w:after="60"/>
              <w:rPr>
                <w:sz w:val="22"/>
                <w:szCs w:val="22"/>
              </w:rPr>
            </w:pPr>
            <w:r w:rsidRPr="00D54AA9">
              <w:rPr>
                <w:b/>
                <w:bCs/>
                <w:sz w:val="22"/>
                <w:szCs w:val="22"/>
              </w:rPr>
              <w:t>Theoretical Hypothesis</w:t>
            </w:r>
            <w:r w:rsidRPr="00D54AA9">
              <w:rPr>
                <w:sz w:val="22"/>
                <w:szCs w:val="22"/>
              </w:rPr>
              <w:t xml:space="preserve"> </w:t>
            </w:r>
            <w:r w:rsidRPr="00D54AA9">
              <w:rPr>
                <w:rFonts w:ascii="Segoe UI Symbol" w:eastAsia="Segoe UI Symbol" w:hAnsi="Segoe UI Symbol" w:cs="Segoe UI Symbol"/>
                <w:sz w:val="22"/>
                <w:szCs w:val="22"/>
              </w:rPr>
              <w:t>☐</w:t>
            </w:r>
          </w:p>
        </w:tc>
        <w:tc>
          <w:tcPr>
            <w:tcW w:w="4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346C378" w14:textId="77777777" w:rsidR="00D54AA9" w:rsidRPr="00D54AA9" w:rsidRDefault="00D54AA9" w:rsidP="00D54AA9">
            <w:pPr>
              <w:spacing w:before="60" w:after="60"/>
              <w:rPr>
                <w:sz w:val="22"/>
                <w:szCs w:val="22"/>
              </w:rPr>
            </w:pPr>
            <w:r w:rsidRPr="00D54AA9">
              <w:rPr>
                <w:sz w:val="22"/>
                <w:szCs w:val="22"/>
              </w:rPr>
              <w:t xml:space="preserve">A fine-tuned </w:t>
            </w:r>
            <w:proofErr w:type="spellStart"/>
            <w:r w:rsidRPr="00D54AA9">
              <w:rPr>
                <w:sz w:val="22"/>
                <w:szCs w:val="22"/>
              </w:rPr>
              <w:t>LLaMA</w:t>
            </w:r>
            <w:proofErr w:type="spellEnd"/>
            <w:r w:rsidRPr="00D54AA9">
              <w:rPr>
                <w:sz w:val="22"/>
                <w:szCs w:val="22"/>
              </w:rPr>
              <w:t xml:space="preserve"> 3.1 8B model (</w:t>
            </w:r>
            <w:proofErr w:type="spellStart"/>
            <w:r w:rsidRPr="00D54AA9">
              <w:rPr>
                <w:sz w:val="22"/>
                <w:szCs w:val="22"/>
              </w:rPr>
              <w:t>QLoRA</w:t>
            </w:r>
            <w:proofErr w:type="spellEnd"/>
            <w:r w:rsidRPr="00D54AA9">
              <w:rPr>
                <w:sz w:val="22"/>
                <w:szCs w:val="22"/>
              </w:rPr>
              <w:t xml:space="preserve">) ingests structured player-level statistics from club leagues and international tournaments for both teams. The model outputs match outcome predictions (win/draw/loss, predicted score, match events) along with a natural-language reasoning chain referencing specific player data. This reasoning chain makes every prediction auditable and </w:t>
            </w:r>
            <w:proofErr w:type="spellStart"/>
            <w:r w:rsidRPr="00D54AA9">
              <w:rPr>
                <w:sz w:val="22"/>
                <w:szCs w:val="22"/>
              </w:rPr>
              <w:t>debuggable</w:t>
            </w:r>
            <w:proofErr w:type="spellEnd"/>
            <w:r w:rsidRPr="00D54AA9">
              <w:rPr>
                <w:sz w:val="22"/>
                <w:szCs w:val="22"/>
              </w:rPr>
              <w:t>, unlike black-box ML approaches.</w:t>
            </w:r>
          </w:p>
        </w:tc>
      </w:tr>
      <w:tr w:rsidR="00D54AA9" w:rsidRPr="00D54AA9" w14:paraId="3A4FFB64" w14:textId="77777777" w:rsidTr="00D54AA9">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vAlign w:val="center"/>
          </w:tcPr>
          <w:p w14:paraId="06CB2C1F" w14:textId="77777777" w:rsidR="00D54AA9" w:rsidRPr="00D54AA9" w:rsidRDefault="00D54AA9" w:rsidP="00D54AA9">
            <w:pPr>
              <w:spacing w:before="60" w:after="60"/>
              <w:rPr>
                <w:sz w:val="22"/>
                <w:szCs w:val="22"/>
              </w:rPr>
            </w:pPr>
            <w:r w:rsidRPr="00D54AA9">
              <w:rPr>
                <w:b/>
                <w:bCs/>
                <w:sz w:val="22"/>
                <w:szCs w:val="22"/>
              </w:rPr>
              <w:t>Phenomena Interpretation</w:t>
            </w:r>
            <w:r w:rsidRPr="00D54AA9">
              <w:rPr>
                <w:sz w:val="22"/>
                <w:szCs w:val="22"/>
              </w:rPr>
              <w:t xml:space="preserve"> </w:t>
            </w:r>
            <w:r w:rsidRPr="00D54AA9">
              <w:rPr>
                <w:rFonts w:ascii="Segoe UI Symbol" w:eastAsia="Segoe UI Symbol" w:hAnsi="Segoe UI Symbol" w:cs="Segoe UI Symbol"/>
                <w:sz w:val="22"/>
                <w:szCs w:val="22"/>
              </w:rPr>
              <w:t>☑</w:t>
            </w:r>
          </w:p>
        </w:tc>
        <w:tc>
          <w:tcPr>
            <w:tcW w:w="22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vAlign w:val="center"/>
          </w:tcPr>
          <w:p w14:paraId="3B684BBF" w14:textId="77777777" w:rsidR="00D54AA9" w:rsidRPr="00D54AA9" w:rsidRDefault="00D54AA9" w:rsidP="00D54AA9">
            <w:pPr>
              <w:spacing w:before="60" w:after="60"/>
              <w:rPr>
                <w:sz w:val="22"/>
                <w:szCs w:val="22"/>
              </w:rPr>
            </w:pPr>
            <w:r w:rsidRPr="00D54AA9">
              <w:rPr>
                <w:b/>
                <w:bCs/>
                <w:sz w:val="22"/>
                <w:szCs w:val="22"/>
              </w:rPr>
              <w:t>Theoretical Reasoning</w:t>
            </w:r>
            <w:r w:rsidRPr="00D54AA9">
              <w:rPr>
                <w:sz w:val="22"/>
                <w:szCs w:val="22"/>
              </w:rPr>
              <w:t xml:space="preserve"> </w:t>
            </w:r>
            <w:r w:rsidRPr="00D54AA9">
              <w:rPr>
                <w:rFonts w:ascii="Segoe UI Symbol" w:eastAsia="Segoe UI Symbol" w:hAnsi="Segoe UI Symbol" w:cs="Segoe UI Symbol"/>
                <w:sz w:val="22"/>
                <w:szCs w:val="22"/>
              </w:rPr>
              <w:t>☐</w:t>
            </w:r>
          </w:p>
        </w:tc>
        <w:tc>
          <w:tcPr>
            <w:tcW w:w="4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B2EB7DA" w14:textId="77777777" w:rsidR="00D54AA9" w:rsidRPr="00D54AA9" w:rsidRDefault="00D54AA9" w:rsidP="00D54AA9">
            <w:pPr>
              <w:spacing w:before="60" w:after="60"/>
              <w:rPr>
                <w:sz w:val="22"/>
                <w:szCs w:val="22"/>
              </w:rPr>
            </w:pPr>
            <w:r w:rsidRPr="00D54AA9">
              <w:rPr>
                <w:sz w:val="22"/>
                <w:szCs w:val="22"/>
              </w:rPr>
              <w:t>World Cup matches attract high volumes of sentiment-driven bettors. The matches happen infrequently (every 4 years), so historical data for national team matchups is thin, and national pride distorts risk assessment. These behavioral factors create persistent gaps between market-implied probabilities and data-driven estimates grounded in player performance across domestic leagues.</w:t>
            </w:r>
          </w:p>
        </w:tc>
      </w:tr>
      <w:tr w:rsidR="00D54AA9" w:rsidRPr="00D54AA9" w14:paraId="20B3D735" w14:textId="77777777" w:rsidTr="00D54AA9">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vAlign w:val="center"/>
          </w:tcPr>
          <w:p w14:paraId="296BF2F6" w14:textId="77777777" w:rsidR="00D54AA9" w:rsidRPr="00D54AA9" w:rsidRDefault="00D54AA9" w:rsidP="00D54AA9">
            <w:pPr>
              <w:spacing w:before="60" w:after="60"/>
              <w:rPr>
                <w:sz w:val="22"/>
                <w:szCs w:val="22"/>
              </w:rPr>
            </w:pPr>
            <w:r w:rsidRPr="00D54AA9">
              <w:rPr>
                <w:b/>
                <w:bCs/>
                <w:sz w:val="22"/>
                <w:szCs w:val="22"/>
              </w:rPr>
              <w:t>Trading Opportunity</w:t>
            </w:r>
          </w:p>
        </w:tc>
        <w:tc>
          <w:tcPr>
            <w:tcW w:w="71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5493B8" w14:textId="77777777" w:rsidR="00D54AA9" w:rsidRPr="00D54AA9" w:rsidRDefault="00D54AA9" w:rsidP="00D54AA9">
            <w:pPr>
              <w:spacing w:before="60" w:after="60"/>
              <w:rPr>
                <w:sz w:val="22"/>
                <w:szCs w:val="22"/>
              </w:rPr>
            </w:pPr>
            <w:r w:rsidRPr="00D54AA9">
              <w:rPr>
                <w:sz w:val="22"/>
                <w:szCs w:val="22"/>
              </w:rPr>
              <w:t xml:space="preserve">When the model's predicted probability for a match outcome diverges significantly from the market's implied probability (or from conventional wisdom), this gap represents exploitable alpha. The model identifies value bets by grounding predictions in granular player data rather than reputation or narrative. </w:t>
            </w:r>
            <w:proofErr w:type="spellStart"/>
            <w:r w:rsidRPr="00D54AA9">
              <w:rPr>
                <w:sz w:val="22"/>
                <w:szCs w:val="22"/>
              </w:rPr>
              <w:t>Backtested</w:t>
            </w:r>
            <w:proofErr w:type="spellEnd"/>
            <w:r w:rsidRPr="00D54AA9">
              <w:rPr>
                <w:sz w:val="22"/>
                <w:szCs w:val="22"/>
              </w:rPr>
              <w:t xml:space="preserve"> against 2022 FIFA World Cup results (64 matches) as ground truth.</w:t>
            </w:r>
          </w:p>
        </w:tc>
      </w:tr>
      <w:tr w:rsidR="00D54AA9" w:rsidRPr="00D54AA9" w14:paraId="3F50CF8C" w14:textId="77777777" w:rsidTr="00D54AA9">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vAlign w:val="center"/>
          </w:tcPr>
          <w:p w14:paraId="2E53CC2B" w14:textId="77777777" w:rsidR="00D54AA9" w:rsidRPr="00D54AA9" w:rsidRDefault="00D54AA9" w:rsidP="00D54AA9">
            <w:pPr>
              <w:spacing w:before="60" w:after="60"/>
              <w:rPr>
                <w:sz w:val="22"/>
                <w:szCs w:val="22"/>
              </w:rPr>
            </w:pPr>
            <w:r w:rsidRPr="00D54AA9">
              <w:rPr>
                <w:b/>
                <w:bCs/>
                <w:sz w:val="22"/>
                <w:szCs w:val="22"/>
              </w:rPr>
              <w:t>Trading Operations</w:t>
            </w:r>
          </w:p>
        </w:tc>
        <w:tc>
          <w:tcPr>
            <w:tcW w:w="71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FCC6523" w14:textId="77777777" w:rsidR="00D54AA9" w:rsidRPr="00D54AA9" w:rsidRDefault="00D54AA9" w:rsidP="00D54AA9">
            <w:pPr>
              <w:spacing w:before="60" w:after="60"/>
              <w:rPr>
                <w:sz w:val="22"/>
                <w:szCs w:val="22"/>
              </w:rPr>
            </w:pPr>
            <w:r w:rsidRPr="00D54AA9">
              <w:rPr>
                <w:sz w:val="22"/>
                <w:szCs w:val="22"/>
              </w:rPr>
              <w:t>Pre-match only. For each World Cup match: (1) generate prediction with reasoning chain from player stats, (2) human reviews reasoning for factual errors such as injuries or suspensions, (3) if predicted edge exceeds the confidence threshold, size position via fractional Kelly criterion, (4) place bet before kickoff. Hard cap on maximum exposure per match. Drawdown circuit breaker pauses activity if cumulative losses exceed a predefined bankroll percentage.</w:t>
            </w:r>
          </w:p>
        </w:tc>
      </w:tr>
      <w:tr w:rsidR="00D54AA9" w:rsidRPr="00D54AA9" w14:paraId="001B2B99" w14:textId="77777777" w:rsidTr="00D54AA9">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vAlign w:val="center"/>
          </w:tcPr>
          <w:p w14:paraId="1A3713EA" w14:textId="77777777" w:rsidR="00D54AA9" w:rsidRPr="00D54AA9" w:rsidRDefault="00D54AA9" w:rsidP="00D54AA9">
            <w:pPr>
              <w:spacing w:before="60" w:after="60"/>
              <w:rPr>
                <w:sz w:val="22"/>
                <w:szCs w:val="22"/>
              </w:rPr>
            </w:pPr>
            <w:r w:rsidRPr="00D54AA9">
              <w:rPr>
                <w:b/>
                <w:bCs/>
                <w:sz w:val="22"/>
                <w:szCs w:val="22"/>
              </w:rPr>
              <w:lastRenderedPageBreak/>
              <w:t>Financial Instrument(s)</w:t>
            </w:r>
          </w:p>
        </w:tc>
        <w:tc>
          <w:tcPr>
            <w:tcW w:w="71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03BA9E" w14:textId="77777777" w:rsidR="00D54AA9" w:rsidRPr="00D54AA9" w:rsidRDefault="00D54AA9" w:rsidP="00D54AA9">
            <w:pPr>
              <w:spacing w:before="60" w:after="60"/>
              <w:rPr>
                <w:sz w:val="22"/>
                <w:szCs w:val="22"/>
              </w:rPr>
            </w:pPr>
            <w:r w:rsidRPr="00D54AA9">
              <w:rPr>
                <w:sz w:val="22"/>
                <w:szCs w:val="22"/>
              </w:rPr>
              <w:t>Fixed-odds sports betting contracts (win/draw/loss) on regulated sportsbooks. Potential extensions include Asian handicap lines and over/under (total goals) markets.</w:t>
            </w:r>
          </w:p>
        </w:tc>
      </w:tr>
    </w:tbl>
    <w:p w14:paraId="5C87F95D" w14:textId="38CD6881" w:rsidR="00A11333" w:rsidRPr="00D54AA9" w:rsidRDefault="00A11333" w:rsidP="00D54AA9">
      <w:pPr>
        <w:pStyle w:val="Heading1"/>
        <w:spacing w:before="480"/>
        <w:rPr>
          <w:sz w:val="22"/>
          <w:szCs w:val="22"/>
        </w:rPr>
      </w:pPr>
    </w:p>
    <w:p w14:paraId="56B3D42B" w14:textId="77777777" w:rsidR="00A11333" w:rsidRPr="00D54AA9" w:rsidRDefault="00000000">
      <w:pPr>
        <w:spacing w:before="200"/>
        <w:jc w:val="center"/>
        <w:rPr>
          <w:sz w:val="22"/>
          <w:szCs w:val="22"/>
        </w:rPr>
      </w:pPr>
      <w:r w:rsidRPr="00D54AA9">
        <w:rPr>
          <w:b/>
          <w:bCs/>
          <w:sz w:val="22"/>
          <w:szCs w:val="22"/>
        </w:rPr>
        <w:t>Table 1: Core Logic Design of Trading Strategies</w:t>
      </w:r>
    </w:p>
    <w:sectPr w:rsidR="00A11333" w:rsidRPr="00D54AA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530549"/>
    <w:multiLevelType w:val="hybridMultilevel"/>
    <w:tmpl w:val="EED02736"/>
    <w:lvl w:ilvl="0" w:tplc="8ACAD6CA">
      <w:start w:val="1"/>
      <w:numFmt w:val="bullet"/>
      <w:lvlText w:val="●"/>
      <w:lvlJc w:val="left"/>
      <w:pPr>
        <w:ind w:left="720" w:hanging="360"/>
      </w:pPr>
    </w:lvl>
    <w:lvl w:ilvl="1" w:tplc="7A6C1F02">
      <w:start w:val="1"/>
      <w:numFmt w:val="bullet"/>
      <w:lvlText w:val="○"/>
      <w:lvlJc w:val="left"/>
      <w:pPr>
        <w:ind w:left="1440" w:hanging="360"/>
      </w:pPr>
    </w:lvl>
    <w:lvl w:ilvl="2" w:tplc="DD72EAB6">
      <w:start w:val="1"/>
      <w:numFmt w:val="bullet"/>
      <w:lvlText w:val="■"/>
      <w:lvlJc w:val="left"/>
      <w:pPr>
        <w:ind w:left="2160" w:hanging="360"/>
      </w:pPr>
    </w:lvl>
    <w:lvl w:ilvl="3" w:tplc="FA1A6DA8">
      <w:start w:val="1"/>
      <w:numFmt w:val="bullet"/>
      <w:lvlText w:val="●"/>
      <w:lvlJc w:val="left"/>
      <w:pPr>
        <w:ind w:left="2880" w:hanging="360"/>
      </w:pPr>
    </w:lvl>
    <w:lvl w:ilvl="4" w:tplc="3F24C9B4">
      <w:start w:val="1"/>
      <w:numFmt w:val="bullet"/>
      <w:lvlText w:val="○"/>
      <w:lvlJc w:val="left"/>
      <w:pPr>
        <w:ind w:left="3600" w:hanging="360"/>
      </w:pPr>
    </w:lvl>
    <w:lvl w:ilvl="5" w:tplc="98602114">
      <w:start w:val="1"/>
      <w:numFmt w:val="bullet"/>
      <w:lvlText w:val="■"/>
      <w:lvlJc w:val="left"/>
      <w:pPr>
        <w:ind w:left="4320" w:hanging="360"/>
      </w:pPr>
    </w:lvl>
    <w:lvl w:ilvl="6" w:tplc="7C123D82">
      <w:start w:val="1"/>
      <w:numFmt w:val="bullet"/>
      <w:lvlText w:val="●"/>
      <w:lvlJc w:val="left"/>
      <w:pPr>
        <w:ind w:left="5040" w:hanging="360"/>
      </w:pPr>
    </w:lvl>
    <w:lvl w:ilvl="7" w:tplc="0ECAB3F4">
      <w:start w:val="1"/>
      <w:numFmt w:val="bullet"/>
      <w:lvlText w:val="●"/>
      <w:lvlJc w:val="left"/>
      <w:pPr>
        <w:ind w:left="5760" w:hanging="360"/>
      </w:pPr>
    </w:lvl>
    <w:lvl w:ilvl="8" w:tplc="2FDA1602">
      <w:start w:val="1"/>
      <w:numFmt w:val="bullet"/>
      <w:lvlText w:val="●"/>
      <w:lvlJc w:val="left"/>
      <w:pPr>
        <w:ind w:left="6480" w:hanging="360"/>
      </w:pPr>
    </w:lvl>
  </w:abstractNum>
  <w:num w:numId="1" w16cid:durableId="6921466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333"/>
    <w:rsid w:val="00721CB4"/>
    <w:rsid w:val="00A11333"/>
    <w:rsid w:val="00D54A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2BF1146"/>
  <w15:docId w15:val="{AB82376B-C98F-E147-8761-4DCD3EEE7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10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354</Words>
  <Characters>2191</Characters>
  <Application>Microsoft Office Word</Application>
  <DocSecurity>0</DocSecurity>
  <Lines>49</Lines>
  <Paragraphs>15</Paragraphs>
  <ScaleCrop>false</ScaleCrop>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Zanwen Fu</cp:lastModifiedBy>
  <cp:revision>2</cp:revision>
  <dcterms:created xsi:type="dcterms:W3CDTF">2026-03-09T21:40:00Z</dcterms:created>
  <dcterms:modified xsi:type="dcterms:W3CDTF">2026-03-09T21:44:00Z</dcterms:modified>
</cp:coreProperties>
</file>