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RAG4C 企业知识库</w:t>
      </w:r>
    </w:p>
    <w:p>
      <w:r>
        <w:t xml:space="preserve">## 报销流程</w:t>
      </w:r>
    </w:p>
    <w:p>
      <w:r>
        <w:t xml:space="preserve">公司员工报销流程：员工在 OA 系统提交费用报销单，附上发票与审批链；</w:t>
      </w:r>
    </w:p>
    <w:p>
      <w:r>
        <w:t xml:space="preserve">直属主管在 3 个工作日内完成一级审批，超时自动提醒；财务部门在 5 个工作日内</w:t>
      </w:r>
    </w:p>
    <w:p>
      <w:r>
        <w:t xml:space="preserve">完成凭证审核，核对发票真伪与预算科目；审批通过后由出纳统一发起银行转账，</w:t>
      </w:r>
    </w:p>
    <w:p>
      <w:r>
        <w:t xml:space="preserve">款项通常在 T+2 到账。</w:t>
      </w:r>
    </w:p>
    <w:p>
      <w:r>
        <w:t xml:space="preserve">## 年假制度</w:t>
      </w:r>
    </w:p>
    <w:p>
      <w:r>
        <w:t xml:space="preserve">员工入职当年即享有 5 天带薪年假；自第二年起每满一年工龄增加 1 天，</w:t>
      </w:r>
    </w:p>
    <w:p>
      <w:r>
        <w:t xml:space="preserve">年假上限为 15 天。年假须在自然年度内使用完毕，未使用部分不跨年结转；</w:t>
      </w:r>
    </w:p>
    <w:p>
      <w:r>
        <w:t xml:space="preserve">经部门负责人审批后最多可结转 5 天，须在次年 6 月 30 日前休完。</w:t>
      </w:r>
    </w:p>
    <w:p>
      <w:r>
        <w:t xml:space="preserve">## 混合检索</w:t>
      </w:r>
    </w:p>
    <w:p>
      <w:r>
        <w:t xml:space="preserve">RAG4C 的混合检索同时执行稠密向量检索（BGE-M3 嵌入）与稀疏 BM25 检索，</w:t>
      </w:r>
    </w:p>
    <w:p>
      <w:r>
        <w:t xml:space="preserve">使用 RRF（Reciprocal Rank Fusion，倒数排名融合）合并两路结果：</w:t>
      </w:r>
    </w:p>
    <w:p>
      <w:r>
        <w:t xml:space="preserve">对每条文档按其在各结果集中的排名取倒数并求和，排名越靠前权重越高。</w:t>
      </w:r>
    </w:p>
    <w:p>
      <w:r>
        <w:t xml:space="preserve">## 引用验证</w:t>
      </w:r>
    </w:p>
    <w:p>
      <w:r>
        <w:t xml:space="preserve">生成答案时强制 [N] 引用标记，三层验证防线：</w:t>
      </w:r>
    </w:p>
    <w:p>
      <w:r>
        <w:t xml:space="preserve">L1 引用存在性检查、L2 文本哈希校验、L3 蕴含判定（LLM），</w:t>
      </w:r>
    </w:p>
    <w:p>
      <w:r>
        <w:t xml:space="preserve">验证通过后才返回有据可依的答案；证据不足时触发双阈值弃权。</w:t>
      </w:r>
    </w:p>
  </w:body>
</w:document>
</file>