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E107" w14:textId="77777777" w:rsidR="006E57D1" w:rsidRDefault="006E57D1" w:rsidP="006E57D1">
      <w:pPr>
        <w:jc w:val="center"/>
        <w:rPr>
          <w:rFonts w:ascii="宋体" w:eastAsia="宋体" w:hAnsi="宋体"/>
          <w:b/>
          <w:sz w:val="44"/>
          <w:szCs w:val="44"/>
        </w:rPr>
      </w:pPr>
      <w:r w:rsidRPr="006E57D1">
        <w:rPr>
          <w:rFonts w:ascii="宋体" w:eastAsia="宋体" w:hAnsi="宋体" w:hint="eastAsia"/>
          <w:b/>
          <w:sz w:val="44"/>
          <w:szCs w:val="44"/>
        </w:rPr>
        <w:t>公司治理专项审计报告</w:t>
      </w:r>
    </w:p>
    <w:p w14:paraId="0A66D47F" w14:textId="77777777" w:rsidR="006E57D1" w:rsidRPr="006E57D1" w:rsidRDefault="006E57D1" w:rsidP="006E57D1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7C19870E" w14:textId="77777777" w:rsidR="006E57D1" w:rsidRPr="006E57D1" w:rsidRDefault="006E57D1" w:rsidP="006E57D1">
      <w:pPr>
        <w:spacing w:line="560" w:lineRule="exact"/>
        <w:ind w:firstLineChars="200" w:firstLine="643"/>
        <w:rPr>
          <w:rFonts w:ascii="黑体" w:eastAsia="黑体" w:hAnsi="黑体" w:hint="eastAsia"/>
          <w:sz w:val="32"/>
          <w:szCs w:val="32"/>
        </w:rPr>
      </w:pPr>
      <w:bookmarkStart w:id="0" w:name="heading_1"/>
      <w:r w:rsidRPr="006E57D1">
        <w:rPr>
          <w:rFonts w:ascii="黑体" w:eastAsia="黑体" w:hAnsi="黑体" w:hint="eastAsia"/>
          <w:b/>
          <w:sz w:val="32"/>
          <w:szCs w:val="32"/>
        </w:rPr>
        <w:t>一、审计概况</w:t>
      </w:r>
      <w:bookmarkEnd w:id="0"/>
    </w:p>
    <w:p w14:paraId="33386FC2" w14:textId="77777777" w:rsidR="006E57D1" w:rsidRDefault="006E57D1" w:rsidP="006E57D1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6E57D1">
        <w:rPr>
          <w:rFonts w:ascii="仿宋" w:eastAsia="仿宋" w:hAnsi="仿宋" w:hint="eastAsia"/>
          <w:sz w:val="32"/>
          <w:szCs w:val="32"/>
        </w:rPr>
        <w:t>为规范公司治理结构，强化治理机制运行效能，防范治理层面风险，保障公司战略目标落地及股东合法权益，审计部依据《中华人民共和国公司法》《上市公司治理准则》（如非上市可替换为《企业内部控制基本规范》）及公司《公司章程》《治理管理制度》等相关规定，于</w:t>
      </w:r>
      <w:r w:rsidRPr="006E57D1">
        <w:rPr>
          <w:rFonts w:ascii="仿宋" w:eastAsia="仿宋" w:hAnsi="仿宋"/>
          <w:sz w:val="32"/>
          <w:szCs w:val="32"/>
        </w:rPr>
        <w:t>XXXX</w:t>
      </w:r>
      <w:r w:rsidRPr="006E57D1">
        <w:rPr>
          <w:rFonts w:ascii="仿宋" w:eastAsia="仿宋" w:hAnsi="仿宋" w:hint="eastAsia"/>
          <w:sz w:val="32"/>
          <w:szCs w:val="32"/>
        </w:rPr>
        <w:t>年</w:t>
      </w:r>
      <w:r w:rsidRPr="006E57D1">
        <w:rPr>
          <w:rFonts w:ascii="仿宋" w:eastAsia="仿宋" w:hAnsi="仿宋"/>
          <w:sz w:val="32"/>
          <w:szCs w:val="32"/>
        </w:rPr>
        <w:t>XX</w:t>
      </w:r>
      <w:r w:rsidRPr="006E57D1">
        <w:rPr>
          <w:rFonts w:ascii="仿宋" w:eastAsia="仿宋" w:hAnsi="仿宋" w:hint="eastAsia"/>
          <w:sz w:val="32"/>
          <w:szCs w:val="32"/>
        </w:rPr>
        <w:t>月</w:t>
      </w:r>
      <w:r w:rsidRPr="006E57D1">
        <w:rPr>
          <w:rFonts w:ascii="仿宋" w:eastAsia="仿宋" w:hAnsi="仿宋"/>
          <w:sz w:val="32"/>
          <w:szCs w:val="32"/>
        </w:rPr>
        <w:t>XX</w:t>
      </w:r>
      <w:r w:rsidRPr="006E57D1">
        <w:rPr>
          <w:rFonts w:ascii="仿宋" w:eastAsia="仿宋" w:hAnsi="仿宋" w:hint="eastAsia"/>
          <w:sz w:val="32"/>
          <w:szCs w:val="32"/>
        </w:rPr>
        <w:t>日至</w:t>
      </w:r>
      <w:r w:rsidRPr="006E57D1">
        <w:rPr>
          <w:rFonts w:ascii="仿宋" w:eastAsia="仿宋" w:hAnsi="仿宋"/>
          <w:sz w:val="32"/>
          <w:szCs w:val="32"/>
        </w:rPr>
        <w:t>XXXX</w:t>
      </w:r>
      <w:r w:rsidRPr="006E57D1">
        <w:rPr>
          <w:rFonts w:ascii="仿宋" w:eastAsia="仿宋" w:hAnsi="仿宋" w:hint="eastAsia"/>
          <w:sz w:val="32"/>
          <w:szCs w:val="32"/>
        </w:rPr>
        <w:t>年</w:t>
      </w:r>
      <w:r w:rsidRPr="006E57D1">
        <w:rPr>
          <w:rFonts w:ascii="仿宋" w:eastAsia="仿宋" w:hAnsi="仿宋"/>
          <w:sz w:val="32"/>
          <w:szCs w:val="32"/>
        </w:rPr>
        <w:t>XX</w:t>
      </w:r>
      <w:r w:rsidRPr="006E57D1">
        <w:rPr>
          <w:rFonts w:ascii="仿宋" w:eastAsia="仿宋" w:hAnsi="仿宋" w:hint="eastAsia"/>
          <w:sz w:val="32"/>
          <w:szCs w:val="32"/>
        </w:rPr>
        <w:t>月</w:t>
      </w:r>
      <w:r w:rsidRPr="006E57D1">
        <w:rPr>
          <w:rFonts w:ascii="仿宋" w:eastAsia="仿宋" w:hAnsi="仿宋"/>
          <w:sz w:val="32"/>
          <w:szCs w:val="32"/>
        </w:rPr>
        <w:t>XX</w:t>
      </w:r>
      <w:r w:rsidRPr="006E57D1">
        <w:rPr>
          <w:rFonts w:ascii="仿宋" w:eastAsia="仿宋" w:hAnsi="仿宋" w:hint="eastAsia"/>
          <w:sz w:val="32"/>
          <w:szCs w:val="32"/>
        </w:rPr>
        <w:t>日，对公司治理结构、决策机制、内部控制、信息披露（如适用）等相关事项开展了专项审计。</w:t>
      </w:r>
    </w:p>
    <w:p w14:paraId="2FBAD426" w14:textId="59BFEEC9" w:rsidR="006E57D1" w:rsidRPr="006E57D1" w:rsidRDefault="006E57D1" w:rsidP="006E57D1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 w:hint="eastAsia"/>
          <w:sz w:val="32"/>
          <w:szCs w:val="32"/>
        </w:rPr>
        <w:t>本次审计范围涵盖公司股东大会、董事会、监事会、经营管理层的履职情况，治理制度的健全性与执行有效性，内部控制体系的搭建与落地，以及关联交易、利益输送等重点领域的管控情况。审计过程中，通过查阅会议纪要、制度文件、决策资料、财务凭证等相关档案，与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各治理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主体成员、相关部门负责人及关键岗位人员进行访谈，实地核查内控流程执行情况等方式获取审计证据，确保审计结论真实、客观、准确。</w:t>
      </w:r>
    </w:p>
    <w:p w14:paraId="2D698FF2" w14:textId="77777777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 w:hint="eastAsia"/>
          <w:sz w:val="32"/>
          <w:szCs w:val="32"/>
        </w:rPr>
        <w:t>本次审计未发现重大违法违规事项，但存在部分治理机制执行不到位、内部控制流程不健全等问题，需进一步整改完善。</w:t>
      </w:r>
    </w:p>
    <w:p w14:paraId="45C3FE19" w14:textId="77777777" w:rsidR="006E57D1" w:rsidRPr="006E57D1" w:rsidRDefault="006E57D1" w:rsidP="00B816D3">
      <w:pPr>
        <w:spacing w:line="560" w:lineRule="exact"/>
        <w:ind w:firstLineChars="200" w:firstLine="643"/>
        <w:rPr>
          <w:rFonts w:ascii="黑体" w:eastAsia="黑体" w:hAnsi="黑体" w:hint="eastAsia"/>
          <w:b/>
          <w:sz w:val="32"/>
          <w:szCs w:val="32"/>
        </w:rPr>
      </w:pPr>
      <w:bookmarkStart w:id="1" w:name="heading_2"/>
      <w:r w:rsidRPr="006E57D1">
        <w:rPr>
          <w:rFonts w:ascii="黑体" w:eastAsia="黑体" w:hAnsi="黑体" w:hint="eastAsia"/>
          <w:b/>
          <w:sz w:val="32"/>
          <w:szCs w:val="32"/>
        </w:rPr>
        <w:t>二、审计发现</w:t>
      </w:r>
      <w:bookmarkEnd w:id="1"/>
    </w:p>
    <w:p w14:paraId="0AF7CDFE" w14:textId="77777777" w:rsidR="006E57D1" w:rsidRPr="006E57D1" w:rsidRDefault="006E57D1" w:rsidP="00B816D3">
      <w:pPr>
        <w:spacing w:line="560" w:lineRule="exact"/>
        <w:ind w:firstLineChars="200" w:firstLine="643"/>
        <w:rPr>
          <w:rFonts w:ascii="楷体" w:eastAsia="楷体" w:hAnsi="楷体" w:hint="eastAsia"/>
          <w:sz w:val="32"/>
          <w:szCs w:val="32"/>
        </w:rPr>
      </w:pPr>
      <w:bookmarkStart w:id="2" w:name="heading_3"/>
      <w:r w:rsidRPr="006E57D1">
        <w:rPr>
          <w:rFonts w:ascii="楷体" w:eastAsia="楷体" w:hAnsi="楷体" w:hint="eastAsia"/>
          <w:b/>
          <w:sz w:val="32"/>
          <w:szCs w:val="32"/>
        </w:rPr>
        <w:t>（一）治理结构履职存在短板</w:t>
      </w:r>
      <w:bookmarkEnd w:id="2"/>
    </w:p>
    <w:p w14:paraId="5FA632A2" w14:textId="622F6C32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董事会下设专门委员会（如战略、审计、薪酬考核委</w:t>
      </w:r>
      <w:r w:rsidRPr="006E57D1">
        <w:rPr>
          <w:rFonts w:ascii="仿宋" w:eastAsia="仿宋" w:hAnsi="仿宋" w:hint="eastAsia"/>
          <w:sz w:val="32"/>
          <w:szCs w:val="32"/>
        </w:rPr>
        <w:lastRenderedPageBreak/>
        <w:t>员会）履职频次不足，部分委员会未按规定每季度召开一次会议，全年会议次数未达到制度要求，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且会议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议题针对性不强，对公司重大经营决策的审议深度不足。</w:t>
      </w:r>
    </w:p>
    <w:p w14:paraId="05F154E2" w14:textId="22609AD1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监事会监督职能发挥不充分，主要以会议监督为主，实地监督、专项监督频次较少，对经营管理层的履职监督缺乏具体措施，未及时发现并纠正经营管理中的不规范行为；监事对公司财务、内控流程的了解不够深入，监督专业性有待提升。</w:t>
      </w:r>
    </w:p>
    <w:p w14:paraId="16522863" w14:textId="6F1FFA65" w:rsidR="006E57D1" w:rsidRPr="006E57D1" w:rsidRDefault="006E57D1" w:rsidP="00B816D3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经营管理层对董事会决议的执行跟踪不到位，部分董事会决议明确的执行事项，未制定详细的执行计划，也未定期向董事会汇报执行进度，存在决议执行滞后、落实不到位的情况。</w:t>
      </w:r>
    </w:p>
    <w:p w14:paraId="68E41FF9" w14:textId="77777777" w:rsidR="006E57D1" w:rsidRPr="006E57D1" w:rsidRDefault="006E57D1" w:rsidP="00B816D3">
      <w:pPr>
        <w:spacing w:line="560" w:lineRule="exact"/>
        <w:ind w:firstLineChars="200" w:firstLine="643"/>
        <w:rPr>
          <w:rFonts w:ascii="楷体" w:eastAsia="楷体" w:hAnsi="楷体" w:hint="eastAsia"/>
          <w:b/>
          <w:sz w:val="32"/>
          <w:szCs w:val="32"/>
        </w:rPr>
      </w:pPr>
      <w:bookmarkStart w:id="3" w:name="heading_4"/>
      <w:r w:rsidRPr="006E57D1">
        <w:rPr>
          <w:rFonts w:ascii="楷体" w:eastAsia="楷体" w:hAnsi="楷体" w:hint="eastAsia"/>
          <w:b/>
          <w:sz w:val="32"/>
          <w:szCs w:val="32"/>
        </w:rPr>
        <w:t>（二）治理制度体系不够完善</w:t>
      </w:r>
      <w:bookmarkEnd w:id="3"/>
    </w:p>
    <w:p w14:paraId="12AB94A3" w14:textId="15E8C90E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部分治理相关制度更新不及时，部分条款与当前公司发展规模、行业监管要求不匹配，如关联交易管理制度中，关联方识别范围不够全面，关联交易审批流程不够细化，存在监管漏洞。</w:t>
      </w:r>
    </w:p>
    <w:p w14:paraId="5B71EA62" w14:textId="1E75CE44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制度之间衔接不够顺畅，如董事会决策制度与经营管理层议事规则中，关于重大事项的审批权限划分不够清晰，存在部分事项审批流程交叉、责任主体不明确的情况，导致执行过程中出现推诿扯皮现象。</w:t>
      </w:r>
    </w:p>
    <w:p w14:paraId="3C39A225" w14:textId="2876D8AD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缺乏针对治理主体履职评价的具体制度，未建立对董事会、监事会、经营管理层成员履职情况的量化评价指标，履职评价流于形式，无法有效激励和约束治理主体成员履行</w:t>
      </w:r>
      <w:r w:rsidRPr="006E57D1">
        <w:rPr>
          <w:rFonts w:ascii="仿宋" w:eastAsia="仿宋" w:hAnsi="仿宋" w:hint="eastAsia"/>
          <w:sz w:val="32"/>
          <w:szCs w:val="32"/>
        </w:rPr>
        <w:lastRenderedPageBreak/>
        <w:t>职责。</w:t>
      </w:r>
    </w:p>
    <w:p w14:paraId="0A0E388A" w14:textId="77777777" w:rsidR="006E57D1" w:rsidRPr="006E57D1" w:rsidRDefault="006E57D1" w:rsidP="00B816D3">
      <w:pPr>
        <w:ind w:firstLineChars="200" w:firstLine="643"/>
        <w:rPr>
          <w:rFonts w:ascii="楷体" w:eastAsia="楷体" w:hAnsi="楷体" w:hint="eastAsia"/>
          <w:b/>
          <w:sz w:val="32"/>
          <w:szCs w:val="32"/>
        </w:rPr>
      </w:pPr>
      <w:bookmarkStart w:id="4" w:name="heading_5"/>
      <w:r w:rsidRPr="006E57D1">
        <w:rPr>
          <w:rFonts w:ascii="楷体" w:eastAsia="楷体" w:hAnsi="楷体" w:hint="eastAsia"/>
          <w:b/>
          <w:sz w:val="32"/>
          <w:szCs w:val="32"/>
        </w:rPr>
        <w:t>（三）内部控制流程执行不到位</w:t>
      </w:r>
      <w:bookmarkEnd w:id="4"/>
    </w:p>
    <w:p w14:paraId="5E9BCA77" w14:textId="63D5A16D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重大事项决策流程不够规范，部分重大投资、融资事项，未按规定履行董事会或股东大会审议程序，存在</w:t>
      </w:r>
      <w:r w:rsidRPr="006E57D1">
        <w:rPr>
          <w:rFonts w:ascii="仿宋" w:eastAsia="仿宋" w:hAnsi="仿宋"/>
          <w:sz w:val="32"/>
          <w:szCs w:val="32"/>
        </w:rPr>
        <w:t>“</w:t>
      </w:r>
      <w:r w:rsidRPr="006E57D1">
        <w:rPr>
          <w:rFonts w:ascii="仿宋" w:eastAsia="仿宋" w:hAnsi="仿宋" w:hint="eastAsia"/>
          <w:sz w:val="32"/>
          <w:szCs w:val="32"/>
        </w:rPr>
        <w:t>先执行、后补审批</w:t>
      </w:r>
      <w:r w:rsidRPr="006E57D1">
        <w:rPr>
          <w:rFonts w:ascii="仿宋" w:eastAsia="仿宋" w:hAnsi="仿宋"/>
          <w:sz w:val="32"/>
          <w:szCs w:val="32"/>
        </w:rPr>
        <w:t>”</w:t>
      </w:r>
      <w:r w:rsidRPr="006E57D1">
        <w:rPr>
          <w:rFonts w:ascii="仿宋" w:eastAsia="仿宋" w:hAnsi="仿宋" w:hint="eastAsia"/>
          <w:sz w:val="32"/>
          <w:szCs w:val="32"/>
        </w:rPr>
        <w:t>的情况，决策过程缺乏充分的论证和风险评估。</w:t>
      </w:r>
    </w:p>
    <w:p w14:paraId="19B32A40" w14:textId="159ECC82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关联交易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管控不严格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，部分关联交易未按规定进行关联方回避表决，关联交易定价缺乏公允性依据，未聘请第三方机构进行定价评估，存在损害公司利益的潜在风险。</w:t>
      </w:r>
    </w:p>
    <w:p w14:paraId="096885C3" w14:textId="08185F03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内部监督机制不健全，审计部作为内部监督核心部门，独立性不足，部分审计发现的问题未得到及时整改，整改跟踪、复核机制不完善，导致问题反复出现。</w:t>
      </w:r>
    </w:p>
    <w:p w14:paraId="09E03946" w14:textId="77777777" w:rsidR="006E57D1" w:rsidRPr="006E57D1" w:rsidRDefault="006E57D1" w:rsidP="00B816D3">
      <w:pPr>
        <w:ind w:firstLineChars="200" w:firstLine="643"/>
        <w:rPr>
          <w:rFonts w:ascii="黑体" w:eastAsia="黑体" w:hAnsi="黑体" w:hint="eastAsia"/>
          <w:sz w:val="32"/>
          <w:szCs w:val="32"/>
        </w:rPr>
      </w:pPr>
      <w:bookmarkStart w:id="5" w:name="heading_6"/>
      <w:r w:rsidRPr="006E57D1">
        <w:rPr>
          <w:rFonts w:ascii="黑体" w:eastAsia="黑体" w:hAnsi="黑体" w:hint="eastAsia"/>
          <w:b/>
          <w:sz w:val="32"/>
          <w:szCs w:val="32"/>
        </w:rPr>
        <w:t>三、问题产生的原因分析</w:t>
      </w:r>
      <w:bookmarkEnd w:id="5"/>
    </w:p>
    <w:p w14:paraId="7A01E514" w14:textId="652E88F3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治理意识薄弱，部分治理主体成员对公司治理的重要性认识不足，认为治理工作只是</w:t>
      </w:r>
      <w:r w:rsidRPr="006E57D1">
        <w:rPr>
          <w:rFonts w:ascii="仿宋" w:eastAsia="仿宋" w:hAnsi="仿宋"/>
          <w:sz w:val="32"/>
          <w:szCs w:val="32"/>
        </w:rPr>
        <w:t>“</w:t>
      </w:r>
      <w:r w:rsidRPr="006E57D1">
        <w:rPr>
          <w:rFonts w:ascii="仿宋" w:eastAsia="仿宋" w:hAnsi="仿宋" w:hint="eastAsia"/>
          <w:sz w:val="32"/>
          <w:szCs w:val="32"/>
        </w:rPr>
        <w:t>走流程、开会议</w:t>
      </w:r>
      <w:r w:rsidRPr="006E57D1">
        <w:rPr>
          <w:rFonts w:ascii="仿宋" w:eastAsia="仿宋" w:hAnsi="仿宋"/>
          <w:sz w:val="32"/>
          <w:szCs w:val="32"/>
        </w:rPr>
        <w:t>”</w:t>
      </w:r>
      <w:r w:rsidRPr="006E57D1">
        <w:rPr>
          <w:rFonts w:ascii="仿宋" w:eastAsia="仿宋" w:hAnsi="仿宋" w:hint="eastAsia"/>
          <w:sz w:val="32"/>
          <w:szCs w:val="32"/>
        </w:rPr>
        <w:t>，忽视了治理机制对公司规范运营、风险防控的核心作用，缺乏主动履职、积极监督的意识。</w:t>
      </w:r>
    </w:p>
    <w:p w14:paraId="35BE2860" w14:textId="4548C67E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制度建设滞后于公司发展，公司近年来发展速度较快，但治理制度更新、完善不及时，未结合行业监管政策、公司战略调整等情况优化制度体系，导致制度缺乏适用性和可操作性。</w:t>
      </w:r>
    </w:p>
    <w:p w14:paraId="5B1FCB4E" w14:textId="13F39F0D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责任落实不到位，未明确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各治理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主体、各部门在公司治理中的具体职责，缺乏有效的考核激励机制，治理工作的成效与个人绩效未挂钩，导致部分人员履职积极性不高、执</w:t>
      </w:r>
      <w:r w:rsidRPr="006E57D1">
        <w:rPr>
          <w:rFonts w:ascii="仿宋" w:eastAsia="仿宋" w:hAnsi="仿宋" w:hint="eastAsia"/>
          <w:sz w:val="32"/>
          <w:szCs w:val="32"/>
        </w:rPr>
        <w:lastRenderedPageBreak/>
        <w:t>行力度不足。</w:t>
      </w:r>
    </w:p>
    <w:p w14:paraId="6DC766C5" w14:textId="04296FF2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4.</w:t>
      </w:r>
      <w:r w:rsidRPr="006E57D1">
        <w:rPr>
          <w:rFonts w:ascii="仿宋" w:eastAsia="仿宋" w:hAnsi="仿宋" w:hint="eastAsia"/>
          <w:sz w:val="32"/>
          <w:szCs w:val="32"/>
        </w:rPr>
        <w:t>专业能力不足，部分治理主体成员（如监事、专门委员会成员）缺乏相关的专业知识和从业经验，对公司治理、财务、法律等相关领域的了解不够深入，无法有效发挥履职、监督作用。</w:t>
      </w:r>
    </w:p>
    <w:p w14:paraId="15BE81F0" w14:textId="77777777" w:rsidR="006E57D1" w:rsidRPr="006E57D1" w:rsidRDefault="006E57D1" w:rsidP="00B816D3">
      <w:pPr>
        <w:spacing w:line="560" w:lineRule="exact"/>
        <w:ind w:firstLineChars="200" w:firstLine="643"/>
        <w:rPr>
          <w:rFonts w:ascii="黑体" w:eastAsia="黑体" w:hAnsi="黑体" w:hint="eastAsia"/>
          <w:sz w:val="32"/>
          <w:szCs w:val="32"/>
        </w:rPr>
      </w:pPr>
      <w:bookmarkStart w:id="6" w:name="heading_7"/>
      <w:r w:rsidRPr="006E57D1">
        <w:rPr>
          <w:rFonts w:ascii="黑体" w:eastAsia="黑体" w:hAnsi="黑体" w:hint="eastAsia"/>
          <w:b/>
          <w:sz w:val="32"/>
          <w:szCs w:val="32"/>
        </w:rPr>
        <w:t>四、审计整改建议</w:t>
      </w:r>
      <w:bookmarkEnd w:id="6"/>
    </w:p>
    <w:p w14:paraId="488B9D18" w14:textId="77777777" w:rsidR="006E57D1" w:rsidRPr="006E57D1" w:rsidRDefault="006E57D1" w:rsidP="00B816D3">
      <w:pPr>
        <w:spacing w:line="560" w:lineRule="exact"/>
        <w:ind w:firstLineChars="200" w:firstLine="643"/>
        <w:rPr>
          <w:rFonts w:ascii="楷体" w:eastAsia="楷体" w:hAnsi="楷体" w:hint="eastAsia"/>
          <w:sz w:val="32"/>
          <w:szCs w:val="32"/>
        </w:rPr>
      </w:pPr>
      <w:bookmarkStart w:id="7" w:name="heading_8"/>
      <w:r w:rsidRPr="006E57D1">
        <w:rPr>
          <w:rFonts w:ascii="楷体" w:eastAsia="楷体" w:hAnsi="楷体" w:hint="eastAsia"/>
          <w:b/>
          <w:sz w:val="32"/>
          <w:szCs w:val="32"/>
        </w:rPr>
        <w:t>（一）强化治理主体履职效能</w:t>
      </w:r>
      <w:bookmarkEnd w:id="7"/>
    </w:p>
    <w:p w14:paraId="2F167172" w14:textId="0040AFD5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规范董事会下设专门委员会履职流程，明确各专门委员会的职责分工和会议频次要求，确保每季度至少召开一次会议，会议议题需围绕公司重大经营决策、风险防控等重点内容，提升审议深度；加强专门委员会成员的专业培训，邀请行业专家、律师、会计师等开展专题培训，提升履职专业性。</w:t>
      </w:r>
    </w:p>
    <w:p w14:paraId="0B0AE015" w14:textId="4CA61C46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强化监事会监督职能，增加实地监督、专项监督频次，重点关注经营管理层履职情况、财务收支、内控流程执行等关键领域；建立监事学习培训机制，提升监事对财务、内控、法律等知识的掌握程度，增强监督专业性；明确监事会监督意见的反馈渠道和整改跟踪机制，确保监督发现的问题得到及时整改。</w:t>
      </w:r>
    </w:p>
    <w:p w14:paraId="3B434BEA" w14:textId="1B97957B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健全董事会决议执行跟踪机制，经营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管理层需对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董事会决议明确的执行事项，制定详细的执行计划，明确执行时限、责任部门和责任人，定期向董事会汇报执行进度；董事会定期对决议执行情况进行检查，对执行滞后、落实不到位的事项，及时督促整改，追究相关人员责任。</w:t>
      </w:r>
    </w:p>
    <w:p w14:paraId="1FC41206" w14:textId="77777777" w:rsidR="006E57D1" w:rsidRPr="006E57D1" w:rsidRDefault="006E57D1" w:rsidP="00B816D3">
      <w:pPr>
        <w:spacing w:line="560" w:lineRule="exact"/>
        <w:ind w:firstLineChars="200" w:firstLine="643"/>
        <w:rPr>
          <w:rFonts w:ascii="楷体" w:eastAsia="楷体" w:hAnsi="楷体" w:hint="eastAsia"/>
          <w:sz w:val="32"/>
          <w:szCs w:val="32"/>
        </w:rPr>
      </w:pPr>
      <w:bookmarkStart w:id="8" w:name="heading_9"/>
      <w:r w:rsidRPr="006E57D1">
        <w:rPr>
          <w:rFonts w:ascii="楷体" w:eastAsia="楷体" w:hAnsi="楷体" w:hint="eastAsia"/>
          <w:b/>
          <w:sz w:val="32"/>
          <w:szCs w:val="32"/>
        </w:rPr>
        <w:lastRenderedPageBreak/>
        <w:t>（二）完善治理制度体系</w:t>
      </w:r>
      <w:bookmarkEnd w:id="8"/>
    </w:p>
    <w:p w14:paraId="3FF424A1" w14:textId="1F264AC8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开展治理制度专项梳理工作，结合公司发展规模、行业监管要求，及时更新、修订关联交易管理、董事会决策、监事会监督等相关制度，细化审批流程、责任分工，确保制度的适用性和可操作性；明确关联方识别范围，规范关联交易定价、审批、披露等流程，防范关联交易风险。</w:t>
      </w:r>
    </w:p>
    <w:p w14:paraId="142E1406" w14:textId="1B0FA822" w:rsidR="006E57D1" w:rsidRPr="006E57D1" w:rsidRDefault="006E57D1" w:rsidP="00B816D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加强制度之间的衔接，梳理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各治理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相关制度的交叉条款，明确重大事项的审批权限和责任主体，避免流程交叉、推诿扯皮；建立制度执行情况定期评估机制，每年度对治理制度的执行效果进行评估，根据评估结果及时优化完善制度。</w:t>
      </w:r>
    </w:p>
    <w:p w14:paraId="46C2F45C" w14:textId="42B1F326" w:rsidR="006E57D1" w:rsidRPr="006E57D1" w:rsidRDefault="006E57D1" w:rsidP="007039B5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建立治理主体履职评价制度，制定量化的履职评价指标，涵盖履职频次、审议质量、监督成效等方面，对董事会、监事会、经营管理层成员的履职情况进行年度评价；将履职评价结果与个人绩效、任职资格挂钩，对履职优秀的人员予以表彰，对履职不力的人员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予以问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责、调整。</w:t>
      </w:r>
    </w:p>
    <w:p w14:paraId="40254085" w14:textId="77777777" w:rsidR="006E57D1" w:rsidRPr="006E57D1" w:rsidRDefault="006E57D1" w:rsidP="007039B5">
      <w:pPr>
        <w:spacing w:line="560" w:lineRule="exact"/>
        <w:ind w:firstLineChars="200" w:firstLine="643"/>
        <w:rPr>
          <w:rFonts w:ascii="楷体" w:eastAsia="楷体" w:hAnsi="楷体" w:hint="eastAsia"/>
          <w:b/>
          <w:sz w:val="32"/>
          <w:szCs w:val="32"/>
        </w:rPr>
      </w:pPr>
      <w:bookmarkStart w:id="9" w:name="heading_10"/>
      <w:r w:rsidRPr="006E57D1">
        <w:rPr>
          <w:rFonts w:ascii="楷体" w:eastAsia="楷体" w:hAnsi="楷体" w:hint="eastAsia"/>
          <w:b/>
          <w:sz w:val="32"/>
          <w:szCs w:val="32"/>
        </w:rPr>
        <w:t>（三）强化内部控制流程执行</w:t>
      </w:r>
      <w:bookmarkEnd w:id="9"/>
    </w:p>
    <w:p w14:paraId="7028F2A6" w14:textId="79BF9AC3" w:rsidR="006E57D1" w:rsidRPr="006E57D1" w:rsidRDefault="006E57D1" w:rsidP="007039B5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1.</w:t>
      </w:r>
      <w:r w:rsidRPr="006E57D1">
        <w:rPr>
          <w:rFonts w:ascii="仿宋" w:eastAsia="仿宋" w:hAnsi="仿宋" w:hint="eastAsia"/>
          <w:sz w:val="32"/>
          <w:szCs w:val="32"/>
        </w:rPr>
        <w:t>规范重大事项决策流程，明确重大投资、融资、关联交易等事项的审议权限和程序，严禁</w:t>
      </w:r>
      <w:r w:rsidRPr="006E57D1">
        <w:rPr>
          <w:rFonts w:ascii="仿宋" w:eastAsia="仿宋" w:hAnsi="仿宋"/>
          <w:sz w:val="32"/>
          <w:szCs w:val="32"/>
        </w:rPr>
        <w:t>“</w:t>
      </w:r>
      <w:r w:rsidRPr="006E57D1">
        <w:rPr>
          <w:rFonts w:ascii="仿宋" w:eastAsia="仿宋" w:hAnsi="仿宋" w:hint="eastAsia"/>
          <w:sz w:val="32"/>
          <w:szCs w:val="32"/>
        </w:rPr>
        <w:t>先执行、后补审批</w:t>
      </w:r>
      <w:r w:rsidRPr="006E57D1">
        <w:rPr>
          <w:rFonts w:ascii="仿宋" w:eastAsia="仿宋" w:hAnsi="仿宋"/>
          <w:sz w:val="32"/>
          <w:szCs w:val="32"/>
        </w:rPr>
        <w:t>”</w:t>
      </w:r>
      <w:r w:rsidRPr="006E57D1">
        <w:rPr>
          <w:rFonts w:ascii="仿宋" w:eastAsia="仿宋" w:hAnsi="仿宋" w:hint="eastAsia"/>
          <w:sz w:val="32"/>
          <w:szCs w:val="32"/>
        </w:rPr>
        <w:t>；建立重大事项决策论证机制，决策前需开展充分的市场调研、风险评估，邀请专业机构提供咨询意见，确保决策的科学性和合理性。</w:t>
      </w:r>
    </w:p>
    <w:p w14:paraId="6DF1BD51" w14:textId="46A1225A" w:rsidR="006E57D1" w:rsidRPr="006E57D1" w:rsidRDefault="006E57D1" w:rsidP="007039B5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2.</w:t>
      </w:r>
      <w:r w:rsidRPr="006E57D1">
        <w:rPr>
          <w:rFonts w:ascii="仿宋" w:eastAsia="仿宋" w:hAnsi="仿宋" w:hint="eastAsia"/>
          <w:sz w:val="32"/>
          <w:szCs w:val="32"/>
        </w:rPr>
        <w:t>严格关联交易管控，关联交易需按规定履行关联方回避表决程序，关联交易定价需聘请第三方机构进行评估，确保定价公允；建立关联交易定期核查机制，每季度对关联交</w:t>
      </w:r>
      <w:r w:rsidRPr="006E57D1">
        <w:rPr>
          <w:rFonts w:ascii="仿宋" w:eastAsia="仿宋" w:hAnsi="仿宋" w:hint="eastAsia"/>
          <w:sz w:val="32"/>
          <w:szCs w:val="32"/>
        </w:rPr>
        <w:lastRenderedPageBreak/>
        <w:t>易的执行情况进行核查，防范利益输送风险。</w:t>
      </w:r>
    </w:p>
    <w:p w14:paraId="6DF8C5BB" w14:textId="2EAFA5BF" w:rsidR="006E57D1" w:rsidRPr="006E57D1" w:rsidRDefault="006E57D1" w:rsidP="007039B5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6E57D1">
        <w:rPr>
          <w:rFonts w:ascii="仿宋" w:eastAsia="仿宋" w:hAnsi="仿宋"/>
          <w:sz w:val="32"/>
          <w:szCs w:val="32"/>
        </w:rPr>
        <w:t>3.</w:t>
      </w:r>
      <w:r w:rsidRPr="006E57D1">
        <w:rPr>
          <w:rFonts w:ascii="仿宋" w:eastAsia="仿宋" w:hAnsi="仿宋" w:hint="eastAsia"/>
          <w:sz w:val="32"/>
          <w:szCs w:val="32"/>
        </w:rPr>
        <w:t>提升内部监督独立性，明确审计部的</w:t>
      </w:r>
      <w:proofErr w:type="gramStart"/>
      <w:r w:rsidRPr="006E57D1">
        <w:rPr>
          <w:rFonts w:ascii="仿宋" w:eastAsia="仿宋" w:hAnsi="仿宋" w:hint="eastAsia"/>
          <w:sz w:val="32"/>
          <w:szCs w:val="32"/>
        </w:rPr>
        <w:t>独立监督</w:t>
      </w:r>
      <w:proofErr w:type="gramEnd"/>
      <w:r w:rsidRPr="006E57D1">
        <w:rPr>
          <w:rFonts w:ascii="仿宋" w:eastAsia="仿宋" w:hAnsi="仿宋" w:hint="eastAsia"/>
          <w:sz w:val="32"/>
          <w:szCs w:val="32"/>
        </w:rPr>
        <w:t>地位，不受经营管理层干预；健全审计整改跟踪、复核机制，对审计发现的问题，明确整改时限、责任部门和责任人，整改完成后及时进行复核，确保问题整改到位，避免问题反复出现；扩大内部审计范围，增加对治理流程、内控体系的审计频次。</w:t>
      </w:r>
    </w:p>
    <w:p w14:paraId="2E8E3756" w14:textId="77777777" w:rsidR="00165913" w:rsidRPr="006E57D1" w:rsidRDefault="00165913">
      <w:pPr>
        <w:rPr>
          <w:rFonts w:hint="eastAsia"/>
        </w:rPr>
      </w:pPr>
    </w:p>
    <w:sectPr w:rsidR="00165913" w:rsidRPr="006E57D1" w:rsidSect="007039B5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D1"/>
    <w:rsid w:val="00165913"/>
    <w:rsid w:val="00234B85"/>
    <w:rsid w:val="006E57D1"/>
    <w:rsid w:val="007039B5"/>
    <w:rsid w:val="00993368"/>
    <w:rsid w:val="00B816D3"/>
    <w:rsid w:val="00DA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584F"/>
  <w15:chartTrackingRefBased/>
  <w15:docId w15:val="{0362802F-BEBF-4429-863C-60C7AA6A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57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7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7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7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7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7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7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7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7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57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7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57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57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57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57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57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7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57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57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7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57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57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Dior</dc:creator>
  <cp:keywords/>
  <dc:description/>
  <cp:lastModifiedBy>Wu Dior</cp:lastModifiedBy>
  <cp:revision>1</cp:revision>
  <dcterms:created xsi:type="dcterms:W3CDTF">2026-01-28T03:10:00Z</dcterms:created>
  <dcterms:modified xsi:type="dcterms:W3CDTF">2026-01-28T03:31:00Z</dcterms:modified>
</cp:coreProperties>
</file>