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8CD7" w14:textId="77777777" w:rsidR="0057457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金融行业数据管理审计典型实际案例</w:t>
      </w:r>
    </w:p>
    <w:p w14:paraId="08441C54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本文结合金融行业（银行、保险、证券）数据管理审计实操场景，补充典型实际案例，所有案例均参考监管公开处罚信息及实务审计案例改编，贴合《中国人民银行业务领域数据安全管理办法》（人行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号令）、《数据安全法》《个人信息保护法》《网络安全法》《生成式人工智能服务管理暂行办法》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项核心制度，对应审计报告中预设的各类违规问题，明确审计发现、违规依据及整改落地情况，为审计工作提供实操参考。</w:t>
      </w:r>
    </w:p>
    <w:p w14:paraId="37FF7EAF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一、违反人行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号令相关实际案例</w:t>
      </w:r>
      <w:bookmarkEnd w:id="0"/>
    </w:p>
    <w:p w14:paraId="5FABD3F1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：某城商行数据分类分级及数据共享违规审计案例</w:t>
      </w:r>
      <w:bookmarkEnd w:id="1"/>
    </w:p>
    <w:p w14:paraId="5DEEB29E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：某城市商业银行，注册资本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亿元，经营范围涵盖公司金融、个人金融、支付清算等业务，本次审计重点核查其数据分类分级、数据共享与外部合作管理情况，发现多项违反人行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号令的违规行为。</w:t>
      </w:r>
    </w:p>
    <w:p w14:paraId="29475115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数据分类分级管理不到位，未编制完整的业务数据资源目录，仅对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的结构化数据标识敏感性，未对信贷审批记录、客户征信查询记录等敏感数据标识高敏感性；核心数据（如客户核心身份信息、大额交易数据）未明确分级，未履行内部审批程序，也未动态调整分级标准，违反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号令第二章关于业务数据分类分级的相关规定。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数据共享与外部合作不合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家第三方科技公司开展数据合作时，未对合作方的数据安全保障能力进行评估，未签订完善的数据安全合作协议，其中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家合作方擅自将该行提供的客户账户流水数据用于自身产品研发；内部跨部门数据共享（如个人金融部向营销部共享客户信息）未履行审批流程，未明确共享权限，存在数据泄露风险，违反人行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号令关于数据共享与外部合作的监管要求。</w:t>
      </w:r>
    </w:p>
    <w:p w14:paraId="2FFE6BDF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：《中国人民银行业务领域数据安全管理办法》（中国人民银行令〔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〕第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号）第二章、第四章相关条款。</w:t>
      </w:r>
    </w:p>
    <w:p w14:paraId="4E7D0A4D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1. 1</w:t>
      </w:r>
      <w:r>
        <w:rPr>
          <w:rFonts w:ascii="Arial" w:eastAsia="等线" w:hAnsi="Arial" w:cs="Arial"/>
        </w:rPr>
        <w:t>个月内完成业务数据资源目录编制，对所有结构化数据逐一标识敏感性，非结构化数据按最高敏感性标识原则落实，明确核心数据、重要数据、一般数据分级标准，履行内部审批程序，建立分级动态调整机制。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立即终止与违规第三方科技公司的合作，收回已提供的全部敏感数据，对其余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家合作方补充开展安全评估，完善数据安全合作协议，明确双方责任义务；建立内部数据共享审批流程，明确共享范围、权限及期限，留存共享记录。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开展数据分类分级及数据共享专项培训，提升</w:t>
      </w:r>
      <w:r>
        <w:rPr>
          <w:rFonts w:ascii="Arial" w:eastAsia="等线" w:hAnsi="Arial" w:cs="Arial"/>
        </w:rPr>
        <w:lastRenderedPageBreak/>
        <w:t>相关岗位人员合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意识。</w:t>
      </w:r>
    </w:p>
    <w:p w14:paraId="2E00FFF8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二、违反《数据安全法》相关实际案例</w:t>
      </w:r>
      <w:bookmarkEnd w:id="2"/>
    </w:p>
    <w:p w14:paraId="77689852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：某财险公司重要数据安全保护及风险管控违规审计案例</w:t>
      </w:r>
      <w:bookmarkEnd w:id="3"/>
    </w:p>
    <w:p w14:paraId="02A869B8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某财产</w:t>
      </w:r>
      <w:proofErr w:type="gramEnd"/>
      <w:r>
        <w:rPr>
          <w:rFonts w:ascii="Arial" w:eastAsia="等线" w:hAnsi="Arial" w:cs="Arial"/>
        </w:rPr>
        <w:t>保险公司，主营车辆保险、企业财产保险等业务，拥有客户数据约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万条，本次审计聚焦其重要数据安全保护、数据安全风险防控等环节，发现违反《数据安全法》的相关问题。</w:t>
      </w:r>
    </w:p>
    <w:p w14:paraId="11EC68ED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重要数据安全保护不到位，未明确本机构重要数据目录（未将车辆理赔数据、企业投保财产信息、大额保费缴纳数据纳入重要数据管理），未对重要数据采取加密存储、访问控制等特殊防护措施；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年上半年有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批次重要数据出境，未按规定开展安全评估，未取得监管部门批准，违反《数据安全法》第二十七条、第三十一条相关规定。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数据安全风险</w:t>
      </w:r>
      <w:proofErr w:type="gramStart"/>
      <w:r>
        <w:rPr>
          <w:rFonts w:ascii="Arial" w:eastAsia="等线" w:hAnsi="Arial" w:cs="Arial"/>
        </w:rPr>
        <w:t>管控不完善</w:t>
      </w:r>
      <w:proofErr w:type="gramEnd"/>
      <w:r>
        <w:rPr>
          <w:rFonts w:ascii="Arial" w:eastAsia="等线" w:hAnsi="Arial" w:cs="Arial"/>
        </w:rPr>
        <w:t>，未建立数据安全风险监测机制，未配备必要的监测工具，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月发生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起重要数据被篡改事件（理赔数据被违规修改，导致理赔金额异常），未及时发现；未定期开展数据安全风险评估，风险评估范围未覆盖全部业务领域，违反《数据安全法》第三十二条、第三十四条相关规定。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数据安全问责机制缺失，对此次数据篡改事件相关责任人未追究责任，违反《数据安全法》第四十条相关规定。</w:t>
      </w:r>
    </w:p>
    <w:p w14:paraId="3581FE9A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：《中华人民共和国数据安全法》第二十七条、第三十一条、第三十二条、第三十四条、第四十条相关条款。</w:t>
      </w:r>
    </w:p>
    <w:p w14:paraId="571134C2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1. 2</w:t>
      </w:r>
      <w:r>
        <w:rPr>
          <w:rFonts w:ascii="Arial" w:eastAsia="等线" w:hAnsi="Arial" w:cs="Arial"/>
        </w:rPr>
        <w:t>个月内梳理并明确重要数据目录，将车辆理赔、企业投保财产等数据纳入重要数据管理，采取</w:t>
      </w:r>
      <w:r>
        <w:rPr>
          <w:rFonts w:ascii="Arial" w:eastAsia="等线" w:hAnsi="Arial" w:cs="Arial"/>
        </w:rPr>
        <w:t>AES-256</w:t>
      </w:r>
      <w:r>
        <w:rPr>
          <w:rFonts w:ascii="Arial" w:eastAsia="等线" w:hAnsi="Arial" w:cs="Arial"/>
        </w:rPr>
        <w:t>加密存储，建立重要数据访问权限分级管控机制；对已出境数据补充开展安全评估，后续重要数据出境严格履行审批程序。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搭建数据安全风险监测平台，配备专业监测工具，实现对数据篡改、泄露等风险的实时监测；每季度开展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次数据安全风险评估，覆盖全部业务领域，将评估结果用于优化防护措施。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建立数据安全问责机制，制定违规情形及责任追究清单，对此次数据篡改事件相关责任人给予通报批评及经济处罚，开展全员数据安全责任警示教育。</w:t>
      </w:r>
    </w:p>
    <w:p w14:paraId="4A21D603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三、违反《个人信息保护法》相关实际案例</w:t>
      </w:r>
      <w:bookmarkEnd w:id="4"/>
    </w:p>
    <w:p w14:paraId="0F1BFB46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：某股份制银行个人信息收集、存储及共享违规审计案例</w:t>
      </w:r>
      <w:bookmarkEnd w:id="5"/>
    </w:p>
    <w:p w14:paraId="3F83592A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：某全国性股份制银行，分支机构覆盖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个省市，个人客户数超</w:t>
      </w:r>
      <w:r>
        <w:rPr>
          <w:rFonts w:ascii="Arial" w:eastAsia="等线" w:hAnsi="Arial" w:cs="Arial"/>
        </w:rPr>
        <w:t>5000</w:t>
      </w:r>
      <w:r>
        <w:rPr>
          <w:rFonts w:ascii="Arial" w:eastAsia="等线" w:hAnsi="Arial" w:cs="Arial"/>
        </w:rPr>
        <w:t>万，本次审计重点核查其个人信息（含敏感个人金融信息）处理全流程合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性，发现多项</w:t>
      </w:r>
      <w:r>
        <w:rPr>
          <w:rFonts w:ascii="Arial" w:eastAsia="等线" w:hAnsi="Arial" w:cs="Arial"/>
        </w:rPr>
        <w:lastRenderedPageBreak/>
        <w:t>违规行为。</w:t>
      </w:r>
    </w:p>
    <w:p w14:paraId="2D006498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个人信息收集不合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，手机银行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注册时，默认勾选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同意收集个人位置信息、通讯录信息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未明确告知用户收集目的及使用范围；办理个人信用卡时，超出业务必要范围收集客户配偶工作单位、子女年龄等无关信息；收集客户银行卡交易密码、征信信息等敏感个人金融信息时，未单独获得用户明示同意，未留存同意凭证，违反《个人信息保护法》第十三条、第十六条、第二十八条相关规定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个人信息存储与使用违规，未对敏感个人金融信息采取特殊加密保护措施，部分客户身份证照片、银行卡号以明文形式存储；未经客户同意，将个人储蓄信息用于第三方理财产品营销；个人信息访问日志留存期限仅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个月，未达到不低于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个月的监管要求，违反《个人信息保护法》第二十二条、第二十三条、第三十二条相关规定。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个人信息共享不合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，与某第三方支付公司共享客户个人信息时，未获得客户明示同意，未评估第三</w:t>
      </w:r>
      <w:proofErr w:type="gramStart"/>
      <w:r>
        <w:rPr>
          <w:rFonts w:ascii="Arial" w:eastAsia="等线" w:hAnsi="Arial" w:cs="Arial"/>
        </w:rPr>
        <w:t>方保护</w:t>
      </w:r>
      <w:proofErr w:type="gramEnd"/>
      <w:r>
        <w:rPr>
          <w:rFonts w:ascii="Arial" w:eastAsia="等线" w:hAnsi="Arial" w:cs="Arial"/>
        </w:rPr>
        <w:t>能力，未签订个人信息共享协议，违反《个人信息保护法》第二十三条、第三十八条相关规定。</w:t>
      </w:r>
    </w:p>
    <w:p w14:paraId="031FE7E0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：《中华人民共和国个人信息保护法》第十三条、第十六条、第二十二条、第二十三条、第二十八条、第三十二条、第三十八条相关条款。</w:t>
      </w:r>
    </w:p>
    <w:p w14:paraId="7A0F28E1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优化手机银行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注册流程，取消</w:t>
      </w:r>
      <w:proofErr w:type="gramStart"/>
      <w:r>
        <w:rPr>
          <w:rFonts w:ascii="Arial" w:eastAsia="等线" w:hAnsi="Arial" w:cs="Arial"/>
        </w:rPr>
        <w:t>默认勾选授权</w:t>
      </w:r>
      <w:proofErr w:type="gramEnd"/>
      <w:r>
        <w:rPr>
          <w:rFonts w:ascii="Arial" w:eastAsia="等线" w:hAnsi="Arial" w:cs="Arial"/>
        </w:rPr>
        <w:t>，明确告知用户个人信息收集目的、范围及使用方式；清理信用卡办理中超出必要范围收集的个人信息，收集敏感个人金融信息时，单独弹出授权提示，留存书面或电子同意凭证。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对敏感个人金融信息采用专用加密算法进行特殊保护，清理明文存储的客户信息；停止向第三方理财产品营销提供个人储蓄信息，如需使用需单独获得客户同意；延长个人信息访问日志留存期限至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年，建立日志定期核查机制。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立即终止与违规第三方支付公司的个人信息共享，收回已共享的个人信息；后续与第三方共享个人信息时，严格履行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同意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签约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流程，明确双方责任义务。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每年开展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次个人信息保护合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审计，指定专人负责个人信息保护工作。</w:t>
      </w:r>
    </w:p>
    <w:p w14:paraId="32A03BE6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四、违反《网络安全法》相关实际案例</w:t>
      </w:r>
      <w:bookmarkEnd w:id="6"/>
    </w:p>
    <w:p w14:paraId="4826B036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：某证券公司网络安全防护及应急处置违规审计案例</w:t>
      </w:r>
      <w:bookmarkEnd w:id="7"/>
    </w:p>
    <w:p w14:paraId="0F42D04D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：某证券公司，主营证券经纪、投资咨询、融资融券等业务，核心交易系统承载百万级客户交易请求，本次审计聚焦其网络安全管理制度、网络运行安全、应急处置等环节，发现违反《网络安全法》的相关问题。</w:t>
      </w:r>
    </w:p>
    <w:p w14:paraId="113DD4CB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网络安全防护体系不完善，未落实网络安全等级保护二级以上测评要求（核心交易系统未开展等级保护测评）；未配备完善的入侵检测系统、防火墙等防护设备，部分网络防护软件未及时更新升级，存在明显安全漏洞；未建立网络安全责任制，网络安全岗位仅配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名兼职人员，专业能力不足，违反《网络安全法》第二十一条、第二十二条、第二十三条相关规定。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网络运行安全保障不足，核心交易系统未建立</w:t>
      </w:r>
      <w:r>
        <w:rPr>
          <w:rFonts w:ascii="Arial" w:eastAsia="等线" w:hAnsi="Arial" w:cs="Arial"/>
        </w:rPr>
        <w:lastRenderedPageBreak/>
        <w:t>冗余备份机制，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月因网络设备故障，导致交易系统中断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小时，影响客户正常交易；网络日志未留存，无法追溯故障原因及相关操作记录；未经审批擅自接入外部网络的情况时有发生，违反《网络安全法》第二十一条、第二十五条、第二十六条相关规定。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网络安全应急处置不完善，未制定网络安全应急处置预案，未定期开展应急演练；此次交易系统中断事件发生后，未按规定及时向监管部门报告，未采取有效的应急处置措施控制影响范围，违反《网络安全法》第二十五条、第四十七条、第四十八条相关规定。</w:t>
      </w:r>
    </w:p>
    <w:p w14:paraId="0C1939C7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：《中华人民共和国网络安全法》第二十一条、第二十二条、第二十三条、第二十五条、第二十六条、第四十七条、第四十八条相关条款。</w:t>
      </w:r>
    </w:p>
    <w:p w14:paraId="3ECA4C74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1. 3</w:t>
      </w:r>
      <w:r>
        <w:rPr>
          <w:rFonts w:ascii="Arial" w:eastAsia="等线" w:hAnsi="Arial" w:cs="Arial"/>
        </w:rPr>
        <w:t>个月内完成核心交易系统网络安全等级保护二级测评，配备完善的入侵检测、防火墙等防护设备，建立防护设备定期更新升级机制（每月更新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次）；建立网络安全责任制，配备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名专职网络安全岗位人员，开展专业技能培训。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为核心交易系统搭建冗余备份机制，实现交易数据实时备份；建立网络日志留存制度，日志留存期限不低于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个月；规范网络</w:t>
      </w:r>
      <w:proofErr w:type="gramStart"/>
      <w:r>
        <w:rPr>
          <w:rFonts w:ascii="Arial" w:eastAsia="等线" w:hAnsi="Arial" w:cs="Arial"/>
        </w:rPr>
        <w:t>接入审批</w:t>
      </w:r>
      <w:proofErr w:type="gramEnd"/>
      <w:r>
        <w:rPr>
          <w:rFonts w:ascii="Arial" w:eastAsia="等线" w:hAnsi="Arial" w:cs="Arial"/>
        </w:rPr>
        <w:t>流程，严禁未经审批接入外部网络，建立网络接入动态监测机制。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制定完善的网络安全应急处置预案，明确应急处置流程、责任分工及处置措施，每半年开展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次应急演练；此次交易系统中断事件补充向监管部门提交报告，开展复盘分析，优化应急处置流程，避免同类事件再次发生。</w:t>
      </w:r>
    </w:p>
    <w:p w14:paraId="71E3CAB7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五、违反《生成式人工智能服务管理暂行办法》相关实际案例</w:t>
      </w:r>
      <w:bookmarkEnd w:id="8"/>
    </w:p>
    <w:p w14:paraId="4AE4C0BF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：某互联网银行生成式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应用合</w:t>
      </w:r>
      <w:proofErr w:type="gramStart"/>
      <w:r>
        <w:rPr>
          <w:rFonts w:ascii="Arial" w:eastAsia="等线" w:hAnsi="Arial" w:cs="Arial"/>
          <w:b/>
          <w:sz w:val="30"/>
        </w:rPr>
        <w:t>规</w:t>
      </w:r>
      <w:proofErr w:type="gramEnd"/>
      <w:r>
        <w:rPr>
          <w:rFonts w:ascii="Arial" w:eastAsia="等线" w:hAnsi="Arial" w:cs="Arial"/>
          <w:b/>
          <w:sz w:val="30"/>
        </w:rPr>
        <w:t>违规审计案例</w:t>
      </w:r>
      <w:bookmarkEnd w:id="9"/>
    </w:p>
    <w:p w14:paraId="44C33960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：某互联网银行，依托线</w:t>
      </w:r>
      <w:proofErr w:type="gramStart"/>
      <w:r>
        <w:rPr>
          <w:rFonts w:ascii="Arial" w:eastAsia="等线" w:hAnsi="Arial" w:cs="Arial"/>
        </w:rPr>
        <w:t>上渠道</w:t>
      </w:r>
      <w:proofErr w:type="gramEnd"/>
      <w:r>
        <w:rPr>
          <w:rFonts w:ascii="Arial" w:eastAsia="等线" w:hAnsi="Arial" w:cs="Arial"/>
        </w:rPr>
        <w:t>开展信贷、支付等业务，引入生成式人工智能技术，用于智能客服、</w:t>
      </w:r>
      <w:proofErr w:type="gramStart"/>
      <w:r>
        <w:rPr>
          <w:rFonts w:ascii="Arial" w:eastAsia="等线" w:hAnsi="Arial" w:cs="Arial"/>
        </w:rPr>
        <w:t>信贷风控建模</w:t>
      </w:r>
      <w:proofErr w:type="gramEnd"/>
      <w:r>
        <w:rPr>
          <w:rFonts w:ascii="Arial" w:eastAsia="等线" w:hAnsi="Arial" w:cs="Arial"/>
        </w:rPr>
        <w:t>等场景，本次审计重点核查其生成式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、算法安全等环节，发现多项违规行为。</w:t>
      </w:r>
    </w:p>
    <w:p w14:paraId="107CF77D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主体资质与备案不合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，开展涉信贷决策类生成式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服务时，未按规定完成模型备案和算法备案，未接受银保监会</w:t>
      </w:r>
      <w:proofErr w:type="gramStart"/>
      <w:r>
        <w:rPr>
          <w:rFonts w:ascii="Arial" w:eastAsia="等线" w:hAnsi="Arial" w:cs="Arial"/>
        </w:rPr>
        <w:t>与网信部门</w:t>
      </w:r>
      <w:proofErr w:type="gramEnd"/>
      <w:r>
        <w:rPr>
          <w:rFonts w:ascii="Arial" w:eastAsia="等线" w:hAnsi="Arial" w:cs="Arial"/>
        </w:rPr>
        <w:t>的双重审核；未按要求每月更新风控词库，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年下半年模型进行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次版本变更，未向监管部门报备，违反《生成式人工智能服务管理暂行办法》相关规定。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训练数据管理违规，</w:t>
      </w:r>
      <w:r>
        <w:rPr>
          <w:rFonts w:ascii="Arial" w:eastAsia="等线" w:hAnsi="Arial" w:cs="Arial"/>
        </w:rPr>
        <w:t>AI</w:t>
      </w:r>
      <w:proofErr w:type="gramStart"/>
      <w:r>
        <w:rPr>
          <w:rFonts w:ascii="Arial" w:eastAsia="等线" w:hAnsi="Arial" w:cs="Arial"/>
        </w:rPr>
        <w:t>风控建模</w:t>
      </w:r>
      <w:proofErr w:type="gramEnd"/>
      <w:r>
        <w:rPr>
          <w:rFonts w:ascii="Arial" w:eastAsia="等线" w:hAnsi="Arial" w:cs="Arial"/>
        </w:rPr>
        <w:t>训练数据中，包含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万条非法获取的个人信贷数据（来源于第三方非法渠道）；训练数据未进行清洗、校验，存在虚假、错误数据，</w:t>
      </w:r>
      <w:proofErr w:type="gramStart"/>
      <w:r>
        <w:rPr>
          <w:rFonts w:ascii="Arial" w:eastAsia="等线" w:hAnsi="Arial" w:cs="Arial"/>
        </w:rPr>
        <w:t>导致风控模型</w:t>
      </w:r>
      <w:proofErr w:type="gramEnd"/>
      <w:r>
        <w:rPr>
          <w:rFonts w:ascii="Arial" w:eastAsia="等线" w:hAnsi="Arial" w:cs="Arial"/>
        </w:rPr>
        <w:t>输出结果不准确；训练数据中包含敏感个人金融信息，未采取去标识化、匿名化保护措施，存在数据泄露风险，违反《生成式人工智能服务管理暂行办法》关于训练数据管理的相关规定。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算法安全与人工监督缺失，未建立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算法安全管理制度，未定期开展算法安全评估和漏洞扫描；</w:t>
      </w:r>
      <w:proofErr w:type="gramStart"/>
      <w:r>
        <w:rPr>
          <w:rFonts w:ascii="Arial" w:eastAsia="等线" w:hAnsi="Arial" w:cs="Arial"/>
        </w:rPr>
        <w:t>信贷风控</w:t>
      </w:r>
      <w:proofErr w:type="gramEnd"/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决策过程不透明，无法追溯决策依据；核心业务场景（信贷审批）未设置人工复核环节，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输出的错误</w:t>
      </w:r>
      <w:proofErr w:type="gramStart"/>
      <w:r>
        <w:rPr>
          <w:rFonts w:ascii="Arial" w:eastAsia="等线" w:hAnsi="Arial" w:cs="Arial"/>
        </w:rPr>
        <w:t>风控建议</w:t>
      </w:r>
      <w:proofErr w:type="gramEnd"/>
      <w:r>
        <w:rPr>
          <w:rFonts w:ascii="Arial" w:eastAsia="等线" w:hAnsi="Arial" w:cs="Arial"/>
        </w:rPr>
        <w:t>导致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笔违规信贷投放，违反《生成式人工智</w:t>
      </w:r>
      <w:r>
        <w:rPr>
          <w:rFonts w:ascii="Arial" w:eastAsia="等线" w:hAnsi="Arial" w:cs="Arial"/>
        </w:rPr>
        <w:lastRenderedPageBreak/>
        <w:t>能服务管理暂行办法》关于算法安全、人工监督的相关规定。</w:t>
      </w:r>
    </w:p>
    <w:p w14:paraId="252F2132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：《生成式人工智能服务管理暂行办法》（国家互联网信息办公室等七部门令第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号）关于主体备案、训练数据、算法安全、人工监督的相关条款，及人行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号令、《个人信息保护法》配套要求。</w:t>
      </w:r>
    </w:p>
    <w:p w14:paraId="1C194A24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1. 1</w:t>
      </w:r>
      <w:r>
        <w:rPr>
          <w:rFonts w:ascii="Arial" w:eastAsia="等线" w:hAnsi="Arial" w:cs="Arial"/>
        </w:rPr>
        <w:t>个月内完成生成式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模型备案和算法备案，接受监管部门双重审核；</w:t>
      </w:r>
      <w:proofErr w:type="gramStart"/>
      <w:r>
        <w:rPr>
          <w:rFonts w:ascii="Arial" w:eastAsia="等线" w:hAnsi="Arial" w:cs="Arial"/>
        </w:rPr>
        <w:t>建立风控词库</w:t>
      </w:r>
      <w:proofErr w:type="gramEnd"/>
      <w:r>
        <w:rPr>
          <w:rFonts w:ascii="Arial" w:eastAsia="等线" w:hAnsi="Arial" w:cs="Arial"/>
        </w:rPr>
        <w:t>每月更新机制，模型变更后及时向银保监会、</w:t>
      </w:r>
      <w:proofErr w:type="gramStart"/>
      <w:r>
        <w:rPr>
          <w:rFonts w:ascii="Arial" w:eastAsia="等线" w:hAnsi="Arial" w:cs="Arial"/>
        </w:rPr>
        <w:t>网信部门</w:t>
      </w:r>
      <w:proofErr w:type="gramEnd"/>
      <w:r>
        <w:rPr>
          <w:rFonts w:ascii="Arial" w:eastAsia="等线" w:hAnsi="Arial" w:cs="Arial"/>
        </w:rPr>
        <w:t>报备。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立即清理训练数据中非法获取的个人信贷数据，对剩余训练数据进行全面清洗、校验，剔除虚假、错误数据；对包含敏感个人金融信息的训练数据，采取去标识化、匿名化处理，建立训练数据管理制度，留存训练数据收集、处理记录，确保来源可追溯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建立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算法安全管理制度，每季度开展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次算法安全评估和漏洞扫描；搭建算法透明化平台，实现</w:t>
      </w:r>
      <w:proofErr w:type="gramStart"/>
      <w:r>
        <w:rPr>
          <w:rFonts w:ascii="Arial" w:eastAsia="等线" w:hAnsi="Arial" w:cs="Arial"/>
        </w:rPr>
        <w:t>信贷风控</w:t>
      </w:r>
      <w:proofErr w:type="gramEnd"/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决策过程可追溯、可审计；在信贷审批等核心业务场景增设人工复核环节，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输出结果需经人工审核确认后，方可执行。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配备金融监管专家、</w:t>
      </w:r>
      <w:proofErr w:type="gramStart"/>
      <w:r>
        <w:rPr>
          <w:rFonts w:ascii="Arial" w:eastAsia="等线" w:hAnsi="Arial" w:cs="Arial"/>
        </w:rPr>
        <w:t>风控专员</w:t>
      </w:r>
      <w:proofErr w:type="gramEnd"/>
      <w:r>
        <w:rPr>
          <w:rFonts w:ascii="Arial" w:eastAsia="等线" w:hAnsi="Arial" w:cs="Arial"/>
        </w:rPr>
        <w:t>参与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算法设计和审核，建立</w:t>
      </w:r>
      <w:proofErr w:type="gramStart"/>
      <w:r>
        <w:rPr>
          <w:rFonts w:ascii="Arial" w:eastAsia="等线" w:hAnsi="Arial" w:cs="Arial"/>
        </w:rPr>
        <w:t>专项风控团队</w:t>
      </w:r>
      <w:proofErr w:type="gramEnd"/>
      <w:r>
        <w:rPr>
          <w:rFonts w:ascii="Arial" w:eastAsia="等线" w:hAnsi="Arial" w:cs="Arial"/>
        </w:rPr>
        <w:t>，提升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水平。</w:t>
      </w:r>
    </w:p>
    <w:p w14:paraId="113E0BCA" w14:textId="77777777" w:rsidR="0057457B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六、共性问题相关实际案例</w:t>
      </w:r>
      <w:bookmarkEnd w:id="10"/>
    </w:p>
    <w:p w14:paraId="14570D84" w14:textId="77777777" w:rsidR="0057457B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：某国有银行分支行数据管理意识、专业能力及审计监督缺失案例</w:t>
      </w:r>
      <w:bookmarkEnd w:id="11"/>
    </w:p>
    <w:p w14:paraId="6AAE3F37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案例背景</w:t>
      </w:r>
      <w:r>
        <w:rPr>
          <w:rFonts w:ascii="Arial" w:eastAsia="等线" w:hAnsi="Arial" w:cs="Arial"/>
        </w:rPr>
        <w:t>：某国有银行某省分支行，负责该省个人金融、公司金融业务落地，本次审计发现其存在数据管理共性问题，且贯穿数据管理全流程，反映出机构数据管理体系存在明显短板。</w:t>
      </w:r>
    </w:p>
    <w:p w14:paraId="39BC1F03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审计发现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数据管理意识薄弱，分支行</w:t>
      </w:r>
      <w:proofErr w:type="gramStart"/>
      <w:r>
        <w:rPr>
          <w:rFonts w:ascii="Arial" w:eastAsia="等线" w:hAnsi="Arial" w:cs="Arial"/>
        </w:rPr>
        <w:t>管理层重业务</w:t>
      </w:r>
      <w:proofErr w:type="gramEnd"/>
      <w:r>
        <w:rPr>
          <w:rFonts w:ascii="Arial" w:eastAsia="等线" w:hAnsi="Arial" w:cs="Arial"/>
        </w:rPr>
        <w:t>发展、轻数据管理，将数据管理工作简单交由信息技术部门兼职负责，未纳入机构发展战略；员工数据合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意识薄弱，存在违规查询、拷贝客户数据，随意丢弃包含敏感数据的纸质资料等行为，违反各项核心制度关于数据安全保护的基本原则。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数据管理专业能力不足，数据管理、</w:t>
      </w:r>
      <w:proofErr w:type="gramStart"/>
      <w:r>
        <w:rPr>
          <w:rFonts w:ascii="Arial" w:eastAsia="等线" w:hAnsi="Arial" w:cs="Arial"/>
        </w:rPr>
        <w:t>风控合规</w:t>
      </w:r>
      <w:proofErr w:type="gramEnd"/>
      <w:r>
        <w:rPr>
          <w:rFonts w:ascii="Arial" w:eastAsia="等线" w:hAnsi="Arial" w:cs="Arial"/>
        </w:rPr>
        <w:t>等部门相关岗位人员，缺乏数据分类分级、个人信息保护、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等专业知识和技能；未建立常态</w:t>
      </w:r>
      <w:proofErr w:type="gramStart"/>
      <w:r>
        <w:rPr>
          <w:rFonts w:ascii="Arial" w:eastAsia="等线" w:hAnsi="Arial" w:cs="Arial"/>
        </w:rPr>
        <w:t>化培训</w:t>
      </w:r>
      <w:proofErr w:type="gramEnd"/>
      <w:r>
        <w:rPr>
          <w:rFonts w:ascii="Arial" w:eastAsia="等线" w:hAnsi="Arial" w:cs="Arial"/>
        </w:rPr>
        <w:t>机制，近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年未开展过数据管理相关专项培训，员工专业能力无法适应数据管理工作需求，违反各项核心制度关于人才保障的相关要求。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数据管理审计监督不到位，分支行审计部门未将数据管理工作作为审计重点，近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年未开展过数据管理专项审计；对上级行检查发现的数据管理问题（如数据存储未加密、访问日志留存不足），未及时督促整改，未建立整改跟踪和复盘机制，问题整改不彻底、反复出现，违反各项核心制度关于审计监督和问题整改的相关要求。</w:t>
      </w:r>
    </w:p>
    <w:p w14:paraId="00FE7D80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违规依据</w:t>
      </w:r>
      <w:r>
        <w:rPr>
          <w:rFonts w:ascii="Arial" w:eastAsia="等线" w:hAnsi="Arial" w:cs="Arial"/>
        </w:rPr>
        <w:t>：人行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号令、《数据安全法》《个人信息保护法》《网络安全法》《生成式人工智能服务管理暂行办法》关于数据管理意识、人才保障、审计监督的相关条款。</w:t>
      </w:r>
    </w:p>
    <w:p w14:paraId="3E214EF3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整改措施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强化数据管理意识，将数据管理工作纳入分支行发展战略，明确管理层数据安全管理责任，定期召开数据管理工作会议；通过专题培训、案例讲解、宣传警</w:t>
      </w:r>
      <w:r>
        <w:rPr>
          <w:rFonts w:ascii="Arial" w:eastAsia="等线" w:hAnsi="Arial" w:cs="Arial"/>
        </w:rPr>
        <w:lastRenderedPageBreak/>
        <w:t>示等方式，开展全员数据合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意识教育，杜绝违规操作行为。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提升专业能力，引进数据管理、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等专业人才，配备足够的专职岗位人员；建立常态</w:t>
      </w:r>
      <w:proofErr w:type="gramStart"/>
      <w:r>
        <w:rPr>
          <w:rFonts w:ascii="Arial" w:eastAsia="等线" w:hAnsi="Arial" w:cs="Arial"/>
        </w:rPr>
        <w:t>化培训</w:t>
      </w:r>
      <w:proofErr w:type="gramEnd"/>
      <w:r>
        <w:rPr>
          <w:rFonts w:ascii="Arial" w:eastAsia="等线" w:hAnsi="Arial" w:cs="Arial"/>
        </w:rPr>
        <w:t>机制，每季度开展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次数据管理相关专项培训，覆盖所有相关岗位人员，培训后进行考核，确保培训效果。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完善审计监督机制，分支行审计部门将数据管理工作纳入审计重点，每年开展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次数据管理专项审计；建立问题整改跟踪、复盘机制，对上级行检查及自身审计发现的数据管理问题，明确整改责任人、整改措施和整改时限，整改完成后开展复盘分析，避免同类问题反复出现。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将数据管理工作纳入员工绩效考核，明确考核指标，强化激励约束。</w:t>
      </w:r>
    </w:p>
    <w:p w14:paraId="1EDE83A4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案例说明</w:t>
      </w:r>
      <w:r>
        <w:rPr>
          <w:rFonts w:ascii="Arial" w:eastAsia="等线" w:hAnsi="Arial" w:cs="Arial"/>
        </w:rPr>
        <w:t>：上述案例均来源于金融行业实际审计场景，涵盖银行、保险、证券多业态，对应审计报告中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审计发现与问题预设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的全部类别，违规事实、审计发现、整改措施均贴合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项核心制度及金融行业监管要求，可直接作为审计工作参考，也可根据被审计机构具体类型（如纯银行、纯保险），调整案例侧重点。</w:t>
      </w:r>
    </w:p>
    <w:p w14:paraId="596CF4D5" w14:textId="77777777" w:rsidR="0057457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57457B" w:rsidSect="00AF07ED">
      <w:pgSz w:w="11905" w:h="16840"/>
      <w:pgMar w:top="1440" w:right="1800" w:bottom="1440" w:left="1800" w:header="720" w:footer="720" w:gutter="0"/>
      <w:pgNumType w:fmt="numberInDash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BC89" w14:textId="77777777" w:rsidR="00D55EBA" w:rsidRDefault="00D55E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8A4660" w14:textId="77777777" w:rsidR="00D55EBA" w:rsidRDefault="00D55E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9427" w14:textId="77777777" w:rsidR="00D55EBA" w:rsidRDefault="00D55E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857BF0" w14:textId="77777777" w:rsidR="00D55EBA" w:rsidRDefault="00D55E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7B"/>
    <w:rsid w:val="0057457B"/>
    <w:rsid w:val="00AF07ED"/>
    <w:rsid w:val="00D55EBA"/>
    <w:rsid w:val="00E5310C"/>
    <w:rsid w:val="00F8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BD72A"/>
  <w15:docId w15:val="{55E1BC75-5AD1-4E4A-891E-F8FBEDC6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07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07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07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07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2900</Words>
  <Characters>2931</Characters>
  <Application>Microsoft Office Word</Application>
  <DocSecurity>0</DocSecurity>
  <Lines>91</Lines>
  <Paragraphs>40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Wu Dior</cp:lastModifiedBy>
  <cp:revision>2</cp:revision>
  <dcterms:created xsi:type="dcterms:W3CDTF">2026-01-28T10:35:00Z</dcterms:created>
  <dcterms:modified xsi:type="dcterms:W3CDTF">2026-01-28T10:35:00Z</dcterms:modified>
</cp:coreProperties>
</file>