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AACC" w14:textId="77777777" w:rsidR="00BA7D90" w:rsidRDefault="00000000">
      <w:pPr>
        <w:spacing w:before="480" w:after="480" w:line="288" w:lineRule="auto"/>
        <w:rPr>
          <w:rFonts w:hint="eastAsia"/>
        </w:rPr>
      </w:pPr>
      <w:r>
        <w:rPr>
          <w:rFonts w:ascii="Arial" w:eastAsia="等线" w:hAnsi="Arial" w:cs="Arial"/>
          <w:b/>
          <w:sz w:val="52"/>
        </w:rPr>
        <w:t>金融行业数据管理审计报告</w:t>
      </w:r>
    </w:p>
    <w:p w14:paraId="4703379D" w14:textId="77777777" w:rsidR="00BA7D90" w:rsidRDefault="00000000">
      <w:pPr>
        <w:spacing w:before="380" w:after="140" w:line="288" w:lineRule="auto"/>
        <w:outlineLvl w:val="0"/>
        <w:rPr>
          <w:rFonts w:hint="eastAsia"/>
        </w:rPr>
      </w:pPr>
      <w:bookmarkStart w:id="0" w:name="heading_0"/>
      <w:r>
        <w:rPr>
          <w:rFonts w:ascii="Arial" w:eastAsia="等线" w:hAnsi="Arial" w:cs="Arial"/>
          <w:b/>
          <w:sz w:val="36"/>
        </w:rPr>
        <w:t>一、审计概况</w:t>
      </w:r>
      <w:bookmarkEnd w:id="0"/>
    </w:p>
    <w:p w14:paraId="61796444" w14:textId="77777777" w:rsidR="00BA7D90" w:rsidRDefault="00000000">
      <w:pPr>
        <w:spacing w:before="320" w:after="120" w:line="288" w:lineRule="auto"/>
        <w:outlineLvl w:val="1"/>
        <w:rPr>
          <w:rFonts w:hint="eastAsia"/>
        </w:rPr>
      </w:pPr>
      <w:bookmarkStart w:id="1" w:name="heading_1"/>
      <w:r>
        <w:rPr>
          <w:rFonts w:ascii="Arial" w:eastAsia="等线" w:hAnsi="Arial" w:cs="Arial"/>
          <w:b/>
          <w:sz w:val="32"/>
        </w:rPr>
        <w:t>（一）审计目的</w:t>
      </w:r>
      <w:bookmarkEnd w:id="1"/>
    </w:p>
    <w:p w14:paraId="09086391" w14:textId="77777777" w:rsidR="00BA7D90" w:rsidRDefault="00000000" w:rsidP="00A469AE">
      <w:pPr>
        <w:spacing w:before="120" w:after="120" w:line="288" w:lineRule="auto"/>
        <w:ind w:firstLineChars="200" w:firstLine="440"/>
        <w:rPr>
          <w:rFonts w:hint="eastAsia"/>
        </w:rPr>
      </w:pPr>
      <w:r>
        <w:rPr>
          <w:rFonts w:ascii="Arial" w:eastAsia="等线" w:hAnsi="Arial" w:cs="Arial"/>
        </w:rPr>
        <w:t>为强化金融机构数据管理合规性，防范数据安全风险，保障金融业务稳健运营，保护个人、组织合法权益及金融行业公共利益，依据《中国人民银行业务领域数据安全管理办法》（中国人民银行令〔</w:t>
      </w:r>
      <w:r>
        <w:rPr>
          <w:rFonts w:ascii="Arial" w:eastAsia="等线" w:hAnsi="Arial" w:cs="Arial"/>
        </w:rPr>
        <w:t>2025</w:t>
      </w:r>
      <w:r>
        <w:rPr>
          <w:rFonts w:ascii="Arial" w:eastAsia="等线" w:hAnsi="Arial" w:cs="Arial"/>
        </w:rPr>
        <w:t>〕第</w:t>
      </w:r>
      <w:r>
        <w:rPr>
          <w:rFonts w:ascii="Arial" w:eastAsia="等线" w:hAnsi="Arial" w:cs="Arial"/>
        </w:rPr>
        <w:t>3</w:t>
      </w:r>
      <w:r>
        <w:rPr>
          <w:rFonts w:ascii="Arial" w:eastAsia="等线" w:hAnsi="Arial" w:cs="Arial"/>
        </w:rPr>
        <w:t>号，以下简称</w:t>
      </w:r>
      <w:r>
        <w:rPr>
          <w:rFonts w:ascii="Arial" w:eastAsia="等线" w:hAnsi="Arial" w:cs="Arial"/>
        </w:rPr>
        <w:t>“</w:t>
      </w:r>
      <w:r>
        <w:rPr>
          <w:rFonts w:ascii="Arial" w:eastAsia="等线" w:hAnsi="Arial" w:cs="Arial"/>
        </w:rPr>
        <w:t>人行</w:t>
      </w:r>
      <w:r>
        <w:rPr>
          <w:rFonts w:ascii="Arial" w:eastAsia="等线" w:hAnsi="Arial" w:cs="Arial"/>
        </w:rPr>
        <w:t>3</w:t>
      </w:r>
      <w:r>
        <w:rPr>
          <w:rFonts w:ascii="Arial" w:eastAsia="等线" w:hAnsi="Arial" w:cs="Arial"/>
        </w:rPr>
        <w:t>号令</w:t>
      </w:r>
      <w:r>
        <w:rPr>
          <w:rFonts w:ascii="Arial" w:eastAsia="等线" w:hAnsi="Arial" w:cs="Arial"/>
        </w:rPr>
        <w:t>”</w:t>
      </w:r>
      <w:r>
        <w:rPr>
          <w:rFonts w:ascii="Arial" w:eastAsia="等线" w:hAnsi="Arial" w:cs="Arial"/>
        </w:rPr>
        <w:t>）、《中华人民共和国数据安全法》《中华人民共和国个人信息保护法》《中华人民共和国网络安全法》《生成式人工智能服务管理暂行办法》及金融行业相关监管要求，对本次审计范围内金融机构（以下简称</w:t>
      </w:r>
      <w:r>
        <w:rPr>
          <w:rFonts w:ascii="Arial" w:eastAsia="等线" w:hAnsi="Arial" w:cs="Arial"/>
        </w:rPr>
        <w:t>“</w:t>
      </w:r>
      <w:r>
        <w:rPr>
          <w:rFonts w:ascii="Arial" w:eastAsia="等线" w:hAnsi="Arial" w:cs="Arial"/>
        </w:rPr>
        <w:t>被审计机构</w:t>
      </w:r>
      <w:r>
        <w:rPr>
          <w:rFonts w:ascii="Arial" w:eastAsia="等线" w:hAnsi="Arial" w:cs="Arial"/>
        </w:rPr>
        <w:t>”</w:t>
      </w:r>
      <w:r>
        <w:rPr>
          <w:rFonts w:ascii="Arial" w:eastAsia="等线" w:hAnsi="Arial" w:cs="Arial"/>
        </w:rPr>
        <w:t>）的数据管理活动开展全面审计。本次审计重点核查被审计机构在数据收集、存储、使用、加工、传输、销毁、共享等全生命周期管理中，对上述</w:t>
      </w:r>
      <w:r>
        <w:rPr>
          <w:rFonts w:ascii="Arial" w:eastAsia="等线" w:hAnsi="Arial" w:cs="Arial"/>
        </w:rPr>
        <w:t>5</w:t>
      </w:r>
      <w:r>
        <w:rPr>
          <w:rFonts w:ascii="Arial" w:eastAsia="等线" w:hAnsi="Arial" w:cs="Arial"/>
        </w:rPr>
        <w:t>项核心制度的遵循情况，预设并排查潜在合规风险与管理漏洞，提出整改建议与优化方向，推动被审计机构构建健全、合规、高效的数据管理体系，助力金融行业数字化转型安全有序推进。</w:t>
      </w:r>
    </w:p>
    <w:p w14:paraId="21E06381" w14:textId="77777777" w:rsidR="00BA7D90" w:rsidRDefault="00000000">
      <w:pPr>
        <w:spacing w:before="320" w:after="120" w:line="288" w:lineRule="auto"/>
        <w:outlineLvl w:val="1"/>
        <w:rPr>
          <w:rFonts w:hint="eastAsia"/>
        </w:rPr>
      </w:pPr>
      <w:bookmarkStart w:id="2" w:name="heading_2"/>
      <w:r>
        <w:rPr>
          <w:rFonts w:ascii="Arial" w:eastAsia="等线" w:hAnsi="Arial" w:cs="Arial"/>
          <w:b/>
          <w:sz w:val="32"/>
        </w:rPr>
        <w:t>（二）审计范围</w:t>
      </w:r>
      <w:bookmarkEnd w:id="2"/>
    </w:p>
    <w:p w14:paraId="38561DB0" w14:textId="77777777" w:rsidR="00BA7D90" w:rsidRDefault="00000000" w:rsidP="00A469AE">
      <w:pPr>
        <w:spacing w:before="120" w:after="120" w:line="288" w:lineRule="auto"/>
        <w:ind w:firstLineChars="200" w:firstLine="440"/>
        <w:rPr>
          <w:rFonts w:hint="eastAsia"/>
        </w:rPr>
      </w:pPr>
      <w:r>
        <w:rPr>
          <w:rFonts w:ascii="Arial" w:eastAsia="等线" w:hAnsi="Arial" w:cs="Arial"/>
        </w:rPr>
        <w:t>本次审计覆盖被审计机构所有与数据管理相关的业务环节、部门及系统，具体包括：数据管理牵头部门、业务运营部门、信息技术部门、风控合规部门、审计部门等相关职能部门；涉及货币信贷、宏观审慎、跨境人民币、银行间市场、金融业综合统计、支付清算、征信和信用评级、反洗钱等人行</w:t>
      </w:r>
      <w:r>
        <w:rPr>
          <w:rFonts w:ascii="Arial" w:eastAsia="等线" w:hAnsi="Arial" w:cs="Arial"/>
        </w:rPr>
        <w:t>3</w:t>
      </w:r>
      <w:r>
        <w:rPr>
          <w:rFonts w:ascii="Arial" w:eastAsia="等线" w:hAnsi="Arial" w:cs="Arial"/>
        </w:rPr>
        <w:t>号令明确的业务领域的数据处理活动；个人金融信息（含敏感个人金融信息）、业务数据、经营管理数据、系统运行和安全管理数据等各类数据的全生命周期管理；生成式人工智能技术在客户服务、风控建模、产品营销、合规审计等金融场景的应用及相关数据管理；支撑数据管理的信息系统、网络设施、安全技术手段等。</w:t>
      </w:r>
    </w:p>
    <w:p w14:paraId="5ABDA9E6" w14:textId="77777777" w:rsidR="00BA7D90" w:rsidRDefault="00000000">
      <w:pPr>
        <w:spacing w:before="320" w:after="120" w:line="288" w:lineRule="auto"/>
        <w:outlineLvl w:val="1"/>
        <w:rPr>
          <w:rFonts w:hint="eastAsia"/>
        </w:rPr>
      </w:pPr>
      <w:bookmarkStart w:id="3" w:name="heading_3"/>
      <w:r>
        <w:rPr>
          <w:rFonts w:ascii="Arial" w:eastAsia="等线" w:hAnsi="Arial" w:cs="Arial"/>
          <w:b/>
          <w:sz w:val="32"/>
        </w:rPr>
        <w:t>（三）审计方法</w:t>
      </w:r>
      <w:bookmarkEnd w:id="3"/>
    </w:p>
    <w:p w14:paraId="392BC8E7" w14:textId="77777777" w:rsidR="00BA7D90" w:rsidRDefault="00000000" w:rsidP="00A469AE">
      <w:pPr>
        <w:spacing w:before="120" w:after="120" w:line="288" w:lineRule="auto"/>
        <w:ind w:firstLineChars="200" w:firstLine="440"/>
        <w:rPr>
          <w:rFonts w:hint="eastAsia"/>
        </w:rPr>
      </w:pPr>
      <w:r>
        <w:rPr>
          <w:rFonts w:ascii="Arial" w:eastAsia="等线" w:hAnsi="Arial" w:cs="Arial"/>
        </w:rPr>
        <w:t>本次审计采用查阅资料、实地核查、系统检测、人员访谈、穿行测试、抽样检查等多种方法相结合的方式开展工作：一是查阅被审计机构数据管理制度、操作规程、会议纪要、培训记录、风险评估报告、审计报告、算法备案材料等相关文档；二是实地核查数据管理部门履职情况、数据存储环境、安全防护设施部署情况；三是对数据管理系统、业务系统、网络系统、生成式人工智能应用系统进行技术检测，核查数据处理流程合规性、安全防护有效性；四是访谈数据管理、业务运营、信息技术、风控</w:t>
      </w:r>
      <w:r>
        <w:rPr>
          <w:rFonts w:ascii="Arial" w:eastAsia="等线" w:hAnsi="Arial" w:cs="Arial"/>
        </w:rPr>
        <w:lastRenderedPageBreak/>
        <w:t>合规等部门相关负责人及岗位人员，了解数据管理实际执行情况；五是选取典型业务场景、数据样本开展穿行测试和抽样检查，验证数据管理合规性；六是对照</w:t>
      </w:r>
      <w:r>
        <w:rPr>
          <w:rFonts w:ascii="Arial" w:eastAsia="等线" w:hAnsi="Arial" w:cs="Arial"/>
        </w:rPr>
        <w:t>5</w:t>
      </w:r>
      <w:r>
        <w:rPr>
          <w:rFonts w:ascii="Arial" w:eastAsia="等线" w:hAnsi="Arial" w:cs="Arial"/>
        </w:rPr>
        <w:t>项核心制度条款，逐项核查被审计机构落实情况，预设并确认审计问题。</w:t>
      </w:r>
    </w:p>
    <w:p w14:paraId="5FC7126B" w14:textId="77777777" w:rsidR="00BA7D90" w:rsidRDefault="00000000">
      <w:pPr>
        <w:spacing w:before="320" w:after="120" w:line="288" w:lineRule="auto"/>
        <w:outlineLvl w:val="1"/>
        <w:rPr>
          <w:rFonts w:hint="eastAsia"/>
        </w:rPr>
      </w:pPr>
      <w:bookmarkStart w:id="4" w:name="heading_4"/>
      <w:r>
        <w:rPr>
          <w:rFonts w:ascii="Arial" w:eastAsia="等线" w:hAnsi="Arial" w:cs="Arial"/>
          <w:b/>
          <w:sz w:val="32"/>
        </w:rPr>
        <w:t>（四）审计时间</w:t>
      </w:r>
      <w:bookmarkEnd w:id="4"/>
    </w:p>
    <w:p w14:paraId="731A7E2A" w14:textId="77777777" w:rsidR="00BA7D90" w:rsidRDefault="00000000" w:rsidP="00A469AE">
      <w:pPr>
        <w:spacing w:before="120" w:after="120" w:line="288" w:lineRule="auto"/>
        <w:ind w:firstLineChars="200" w:firstLine="440"/>
        <w:rPr>
          <w:rFonts w:hint="eastAsia"/>
        </w:rPr>
      </w:pPr>
      <w:r>
        <w:rPr>
          <w:rFonts w:ascii="Arial" w:eastAsia="等线" w:hAnsi="Arial" w:cs="Arial"/>
        </w:rPr>
        <w:t>本次审计工作自</w:t>
      </w:r>
      <w:r>
        <w:rPr>
          <w:rFonts w:ascii="Arial" w:eastAsia="等线" w:hAnsi="Arial" w:cs="Arial"/>
        </w:rPr>
        <w:t>XXXX</w:t>
      </w:r>
      <w:r>
        <w:rPr>
          <w:rFonts w:ascii="Arial" w:eastAsia="等线" w:hAnsi="Arial" w:cs="Arial"/>
        </w:rPr>
        <w:t>年</w:t>
      </w:r>
      <w:r>
        <w:rPr>
          <w:rFonts w:ascii="Arial" w:eastAsia="等线" w:hAnsi="Arial" w:cs="Arial"/>
        </w:rPr>
        <w:t>XX</w:t>
      </w:r>
      <w:r>
        <w:rPr>
          <w:rFonts w:ascii="Arial" w:eastAsia="等线" w:hAnsi="Arial" w:cs="Arial"/>
        </w:rPr>
        <w:t>月</w:t>
      </w:r>
      <w:r>
        <w:rPr>
          <w:rFonts w:ascii="Arial" w:eastAsia="等线" w:hAnsi="Arial" w:cs="Arial"/>
        </w:rPr>
        <w:t>XX</w:t>
      </w:r>
      <w:r>
        <w:rPr>
          <w:rFonts w:ascii="Arial" w:eastAsia="等线" w:hAnsi="Arial" w:cs="Arial"/>
        </w:rPr>
        <w:t>日起至</w:t>
      </w:r>
      <w:r>
        <w:rPr>
          <w:rFonts w:ascii="Arial" w:eastAsia="等线" w:hAnsi="Arial" w:cs="Arial"/>
        </w:rPr>
        <w:t>XXXX</w:t>
      </w:r>
      <w:r>
        <w:rPr>
          <w:rFonts w:ascii="Arial" w:eastAsia="等线" w:hAnsi="Arial" w:cs="Arial"/>
        </w:rPr>
        <w:t>年</w:t>
      </w:r>
      <w:r>
        <w:rPr>
          <w:rFonts w:ascii="Arial" w:eastAsia="等线" w:hAnsi="Arial" w:cs="Arial"/>
        </w:rPr>
        <w:t>XX</w:t>
      </w:r>
      <w:r>
        <w:rPr>
          <w:rFonts w:ascii="Arial" w:eastAsia="等线" w:hAnsi="Arial" w:cs="Arial"/>
        </w:rPr>
        <w:t>月</w:t>
      </w:r>
      <w:r>
        <w:rPr>
          <w:rFonts w:ascii="Arial" w:eastAsia="等线" w:hAnsi="Arial" w:cs="Arial"/>
        </w:rPr>
        <w:t>XX</w:t>
      </w:r>
      <w:r>
        <w:rPr>
          <w:rFonts w:ascii="Arial" w:eastAsia="等线" w:hAnsi="Arial" w:cs="Arial"/>
        </w:rPr>
        <w:t>日止，分为审计准备阶段、审计实施阶段、审计报告阶段三个环节，全程严格遵循审计工作规范，确保审计结果真实、准确、合规、有效。</w:t>
      </w:r>
    </w:p>
    <w:p w14:paraId="5A6715A8" w14:textId="77777777" w:rsidR="00BA7D90" w:rsidRDefault="00000000">
      <w:pPr>
        <w:spacing w:before="380" w:after="140" w:line="288" w:lineRule="auto"/>
        <w:outlineLvl w:val="0"/>
        <w:rPr>
          <w:rFonts w:hint="eastAsia"/>
        </w:rPr>
      </w:pPr>
      <w:bookmarkStart w:id="5" w:name="heading_5"/>
      <w:r>
        <w:rPr>
          <w:rFonts w:ascii="Arial" w:eastAsia="等线" w:hAnsi="Arial" w:cs="Arial"/>
          <w:b/>
          <w:sz w:val="36"/>
        </w:rPr>
        <w:t>二、审计依据</w:t>
      </w:r>
      <w:bookmarkEnd w:id="5"/>
    </w:p>
    <w:p w14:paraId="3B0600FB" w14:textId="0318A217" w:rsidR="00BA7D90" w:rsidRDefault="00000000" w:rsidP="00A469AE">
      <w:pPr>
        <w:spacing w:before="120" w:after="120" w:line="288" w:lineRule="auto"/>
        <w:ind w:firstLineChars="200" w:firstLine="440"/>
        <w:rPr>
          <w:rFonts w:hint="eastAsia"/>
        </w:rPr>
      </w:pPr>
      <w:r>
        <w:rPr>
          <w:rFonts w:ascii="Arial" w:eastAsia="等线" w:hAnsi="Arial" w:cs="Arial"/>
        </w:rPr>
        <w:t>本次审计严格依据以下法律法规及监管办法开展，确保审计工作合法合规、有章可循：《中国人民银行业务领域数据安全管理办法》（中国人民银行令〔</w:t>
      </w:r>
      <w:r>
        <w:rPr>
          <w:rFonts w:ascii="Arial" w:eastAsia="等线" w:hAnsi="Arial" w:cs="Arial"/>
        </w:rPr>
        <w:t>2025</w:t>
      </w:r>
      <w:r>
        <w:rPr>
          <w:rFonts w:ascii="Arial" w:eastAsia="等线" w:hAnsi="Arial" w:cs="Arial"/>
        </w:rPr>
        <w:t>〕第</w:t>
      </w:r>
      <w:r>
        <w:rPr>
          <w:rFonts w:ascii="Arial" w:eastAsia="等线" w:hAnsi="Arial" w:cs="Arial"/>
        </w:rPr>
        <w:t>3</w:t>
      </w:r>
      <w:r>
        <w:rPr>
          <w:rFonts w:ascii="Arial" w:eastAsia="等线" w:hAnsi="Arial" w:cs="Arial"/>
        </w:rPr>
        <w:t>号）</w:t>
      </w:r>
      <w:r w:rsidR="00A469AE">
        <w:rPr>
          <w:rFonts w:ascii="Arial" w:eastAsia="等线" w:hAnsi="Arial" w:cs="Arial" w:hint="eastAsia"/>
        </w:rPr>
        <w:t>、</w:t>
      </w:r>
      <w:r>
        <w:rPr>
          <w:rFonts w:ascii="Arial" w:eastAsia="等线" w:hAnsi="Arial" w:cs="Arial"/>
        </w:rPr>
        <w:t>《中华人民共和国数据安全法》</w:t>
      </w:r>
      <w:r w:rsidR="00A469AE">
        <w:rPr>
          <w:rFonts w:ascii="Arial" w:eastAsia="等线" w:hAnsi="Arial" w:cs="Arial" w:hint="eastAsia"/>
        </w:rPr>
        <w:t>、</w:t>
      </w:r>
      <w:r>
        <w:rPr>
          <w:rFonts w:ascii="Arial" w:eastAsia="等线" w:hAnsi="Arial" w:cs="Arial"/>
        </w:rPr>
        <w:t>《中华人民共和国个人信息保护法》</w:t>
      </w:r>
      <w:r w:rsidR="00A469AE">
        <w:rPr>
          <w:rFonts w:ascii="Arial" w:eastAsia="等线" w:hAnsi="Arial" w:cs="Arial" w:hint="eastAsia"/>
        </w:rPr>
        <w:t>、</w:t>
      </w:r>
      <w:r>
        <w:rPr>
          <w:rFonts w:ascii="Arial" w:eastAsia="等线" w:hAnsi="Arial" w:cs="Arial"/>
        </w:rPr>
        <w:t>《中华人民共和国网络安全法》</w:t>
      </w:r>
      <w:r w:rsidR="00A469AE">
        <w:rPr>
          <w:rFonts w:ascii="Arial" w:eastAsia="等线" w:hAnsi="Arial" w:cs="Arial" w:hint="eastAsia"/>
        </w:rPr>
        <w:t>、</w:t>
      </w:r>
      <w:r>
        <w:rPr>
          <w:rFonts w:ascii="Arial" w:eastAsia="等线" w:hAnsi="Arial" w:cs="Arial"/>
        </w:rPr>
        <w:t>《生成式人工智能服务管理暂行办法》（国家互联网信息办公室等七部门令第</w:t>
      </w:r>
      <w:r>
        <w:rPr>
          <w:rFonts w:ascii="Arial" w:eastAsia="等线" w:hAnsi="Arial" w:cs="Arial"/>
        </w:rPr>
        <w:t>15</w:t>
      </w:r>
      <w:r>
        <w:rPr>
          <w:rFonts w:ascii="Arial" w:eastAsia="等线" w:hAnsi="Arial" w:cs="Arial"/>
        </w:rPr>
        <w:t>号）</w:t>
      </w:r>
      <w:r w:rsidR="00A469AE">
        <w:rPr>
          <w:rFonts w:ascii="Arial" w:eastAsia="等线" w:hAnsi="Arial" w:cs="Arial" w:hint="eastAsia"/>
        </w:rPr>
        <w:t>、</w:t>
      </w:r>
      <w:r>
        <w:rPr>
          <w:rFonts w:ascii="Arial" w:eastAsia="等线" w:hAnsi="Arial" w:cs="Arial"/>
        </w:rPr>
        <w:t>《银行保险机构数据安全管理办法》（国家金融监督管理总局令）</w:t>
      </w:r>
      <w:r w:rsidR="00A469AE">
        <w:rPr>
          <w:rFonts w:ascii="Arial" w:eastAsia="等线" w:hAnsi="Arial" w:cs="Arial" w:hint="eastAsia"/>
        </w:rPr>
        <w:t>、</w:t>
      </w:r>
      <w:r>
        <w:rPr>
          <w:rFonts w:ascii="Arial" w:eastAsia="等线" w:hAnsi="Arial" w:cs="Arial"/>
        </w:rPr>
        <w:t>金融行业数据管理相关标准、规范及被审计机构内部数据管理制度、操作规程。</w:t>
      </w:r>
    </w:p>
    <w:p w14:paraId="70605F7E" w14:textId="77777777" w:rsidR="00BA7D90" w:rsidRDefault="00000000">
      <w:pPr>
        <w:spacing w:before="380" w:after="140" w:line="288" w:lineRule="auto"/>
        <w:outlineLvl w:val="0"/>
        <w:rPr>
          <w:rFonts w:hint="eastAsia"/>
        </w:rPr>
      </w:pPr>
      <w:bookmarkStart w:id="6" w:name="heading_6"/>
      <w:r>
        <w:rPr>
          <w:rFonts w:ascii="Arial" w:eastAsia="等线" w:hAnsi="Arial" w:cs="Arial"/>
          <w:b/>
          <w:sz w:val="36"/>
        </w:rPr>
        <w:t>三、审计发现与问题预设</w:t>
      </w:r>
      <w:bookmarkEnd w:id="6"/>
    </w:p>
    <w:p w14:paraId="3C3C5B76" w14:textId="77777777" w:rsidR="00BA7D90" w:rsidRDefault="00000000" w:rsidP="00A469AE">
      <w:pPr>
        <w:spacing w:before="120" w:after="120" w:line="288" w:lineRule="auto"/>
        <w:ind w:firstLineChars="200" w:firstLine="440"/>
        <w:rPr>
          <w:rFonts w:hint="eastAsia"/>
        </w:rPr>
      </w:pPr>
      <w:r>
        <w:rPr>
          <w:rFonts w:ascii="Arial" w:eastAsia="等线" w:hAnsi="Arial" w:cs="Arial"/>
        </w:rPr>
        <w:t>本次审计围绕上述</w:t>
      </w:r>
      <w:r>
        <w:rPr>
          <w:rFonts w:ascii="Arial" w:eastAsia="等线" w:hAnsi="Arial" w:cs="Arial"/>
        </w:rPr>
        <w:t>5</w:t>
      </w:r>
      <w:r>
        <w:rPr>
          <w:rFonts w:ascii="Arial" w:eastAsia="等线" w:hAnsi="Arial" w:cs="Arial"/>
        </w:rPr>
        <w:t>项核心制度，结合金融行业数据管理特点，重点从数据管理体系建设、数据全生命周期管理、网络安全保障、个人信息保护、生成式人工智能应用数据合规、数据安全风险防控等方面，预设并排查审计问题，具体如下：</w:t>
      </w:r>
    </w:p>
    <w:p w14:paraId="728D8CEA" w14:textId="5E3C1C40" w:rsidR="00BA7D90" w:rsidRDefault="00000000">
      <w:pPr>
        <w:spacing w:before="320" w:after="120" w:line="288" w:lineRule="auto"/>
        <w:outlineLvl w:val="1"/>
        <w:rPr>
          <w:rFonts w:hint="eastAsia"/>
        </w:rPr>
      </w:pPr>
      <w:bookmarkStart w:id="7" w:name="heading_7"/>
      <w:r>
        <w:rPr>
          <w:rFonts w:ascii="Arial" w:eastAsia="等线" w:hAnsi="Arial" w:cs="Arial"/>
          <w:b/>
          <w:sz w:val="32"/>
        </w:rPr>
        <w:t>（一）违反人行</w:t>
      </w:r>
      <w:r>
        <w:rPr>
          <w:rFonts w:ascii="Arial" w:eastAsia="等线" w:hAnsi="Arial" w:cs="Arial"/>
          <w:b/>
          <w:sz w:val="32"/>
        </w:rPr>
        <w:t>3</w:t>
      </w:r>
      <w:r>
        <w:rPr>
          <w:rFonts w:ascii="Arial" w:eastAsia="等线" w:hAnsi="Arial" w:cs="Arial"/>
          <w:b/>
          <w:sz w:val="32"/>
        </w:rPr>
        <w:t>号令相关问题</w:t>
      </w:r>
      <w:bookmarkEnd w:id="7"/>
    </w:p>
    <w:p w14:paraId="3B63DF0D" w14:textId="77777777" w:rsidR="00BA7D90" w:rsidRDefault="00000000" w:rsidP="00A469AE">
      <w:pPr>
        <w:spacing w:before="120" w:after="120" w:line="288" w:lineRule="auto"/>
        <w:ind w:firstLineChars="200" w:firstLine="440"/>
        <w:rPr>
          <w:rFonts w:hint="eastAsia"/>
        </w:rPr>
      </w:pPr>
      <w:r>
        <w:rPr>
          <w:rFonts w:ascii="Arial" w:eastAsia="等线" w:hAnsi="Arial" w:cs="Arial"/>
        </w:rPr>
        <w:t>结合人行</w:t>
      </w:r>
      <w:r>
        <w:rPr>
          <w:rFonts w:ascii="Arial" w:eastAsia="等线" w:hAnsi="Arial" w:cs="Arial"/>
        </w:rPr>
        <w:t>3</w:t>
      </w:r>
      <w:r>
        <w:rPr>
          <w:rFonts w:ascii="Arial" w:eastAsia="等线" w:hAnsi="Arial" w:cs="Arial"/>
        </w:rPr>
        <w:t>号令</w:t>
      </w:r>
      <w:r>
        <w:rPr>
          <w:rFonts w:ascii="Arial" w:eastAsia="等线" w:hAnsi="Arial" w:cs="Arial"/>
        </w:rPr>
        <w:t>“</w:t>
      </w:r>
      <w:r>
        <w:rPr>
          <w:rFonts w:ascii="Arial" w:eastAsia="等线" w:hAnsi="Arial" w:cs="Arial"/>
        </w:rPr>
        <w:t>谁管业务，谁管业务数据，谁管数据安全</w:t>
      </w:r>
      <w:r>
        <w:rPr>
          <w:rFonts w:ascii="Arial" w:eastAsia="等线" w:hAnsi="Arial" w:cs="Arial"/>
        </w:rPr>
        <w:t>”</w:t>
      </w:r>
      <w:r>
        <w:rPr>
          <w:rFonts w:ascii="Arial" w:eastAsia="等线" w:hAnsi="Arial" w:cs="Arial"/>
        </w:rPr>
        <w:t>的核心原则及七章五十六条具体要求，预设以下审计问题，均为金融机构数据管理中高频潜在违规场景：</w:t>
      </w:r>
    </w:p>
    <w:p w14:paraId="0170BAE3" w14:textId="504E6D81" w:rsidR="00BA7D90" w:rsidRDefault="00A469AE" w:rsidP="00A469AE">
      <w:pPr>
        <w:spacing w:before="120" w:after="120" w:line="288" w:lineRule="auto"/>
        <w:ind w:firstLineChars="200" w:firstLine="440"/>
        <w:rPr>
          <w:rFonts w:hint="eastAsia"/>
        </w:rPr>
      </w:pPr>
      <w:r>
        <w:rPr>
          <w:rFonts w:ascii="Arial" w:eastAsia="等线" w:hAnsi="Arial" w:cs="Arial" w:hint="eastAsia"/>
        </w:rPr>
        <w:t>1.</w:t>
      </w:r>
      <w:r w:rsidR="00000000">
        <w:rPr>
          <w:rFonts w:ascii="Arial" w:eastAsia="等线" w:hAnsi="Arial" w:cs="Arial"/>
        </w:rPr>
        <w:t>数据分类分级管理不到位。未严格按照人行</w:t>
      </w:r>
      <w:r w:rsidR="00000000">
        <w:rPr>
          <w:rFonts w:ascii="Arial" w:eastAsia="等线" w:hAnsi="Arial" w:cs="Arial"/>
        </w:rPr>
        <w:t>3</w:t>
      </w:r>
      <w:r w:rsidR="00000000">
        <w:rPr>
          <w:rFonts w:ascii="Arial" w:eastAsia="等线" w:hAnsi="Arial" w:cs="Arial"/>
        </w:rPr>
        <w:t>号令及行业标准，建立健全业务数据分类分级制度和操作规程，未编制完整的业务数据资源目录，未从业务关联性、敏感性和可用性方面对数据进行全面分类；对数据敏感性标识不规范，结构化数据项未逐一标识敏感性，非结构化数据项未按最高敏感性标识原则落实；未将人行</w:t>
      </w:r>
      <w:r w:rsidR="00000000">
        <w:rPr>
          <w:rFonts w:ascii="Arial" w:eastAsia="等线" w:hAnsi="Arial" w:cs="Arial"/>
        </w:rPr>
        <w:t>3</w:t>
      </w:r>
      <w:r w:rsidR="00000000">
        <w:rPr>
          <w:rFonts w:ascii="Arial" w:eastAsia="等线" w:hAnsi="Arial" w:cs="Arial"/>
        </w:rPr>
        <w:t>号令明确的敏感个人信息、可能涉及商业秘密的客户经营信息、应当严格控制知悉范围的业务信息等标识为高敏感性数据项；数据分级未准确区分一般数据、重要数据、核心数据，分级结果未履行内部审批程序，也未根据数据业务属性、重要程度变化开展动态调整，违反人行</w:t>
      </w:r>
      <w:r w:rsidR="00000000">
        <w:rPr>
          <w:rFonts w:ascii="Arial" w:eastAsia="等线" w:hAnsi="Arial" w:cs="Arial"/>
        </w:rPr>
        <w:t>3</w:t>
      </w:r>
      <w:r w:rsidR="00000000">
        <w:rPr>
          <w:rFonts w:ascii="Arial" w:eastAsia="等线" w:hAnsi="Arial" w:cs="Arial"/>
        </w:rPr>
        <w:t>号令第二章关于业务数据分类分级与总体要求的相关规定。</w:t>
      </w:r>
    </w:p>
    <w:p w14:paraId="5CBE3CAD" w14:textId="18E1190D"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数据全生命周期管理存在漏洞。一是数据收集环节，未明确收集范围、标准和</w:t>
      </w:r>
      <w:r w:rsidR="00000000">
        <w:rPr>
          <w:rFonts w:ascii="Arial" w:eastAsia="等线" w:hAnsi="Arial" w:cs="Arial"/>
        </w:rPr>
        <w:lastRenderedPageBreak/>
        <w:t>流程，存在超出业务必要范围收集数据的情况，部分业务场景未留存数据收集授权记录；二是数据存储环节，未落实人行</w:t>
      </w:r>
      <w:r w:rsidR="00000000">
        <w:rPr>
          <w:rFonts w:ascii="Arial" w:eastAsia="等线" w:hAnsi="Arial" w:cs="Arial"/>
        </w:rPr>
        <w:t>3</w:t>
      </w:r>
      <w:r w:rsidR="00000000">
        <w:rPr>
          <w:rFonts w:ascii="Arial" w:eastAsia="等线" w:hAnsi="Arial" w:cs="Arial"/>
        </w:rPr>
        <w:t>号令关于数据存储保护、数据备份的技术要求，核心数据、重要数据未采用加密存储方式，备份策略不符合监管要求，未定期开展备份恢复测试，部分过期数据未按规定及时清理；三是数据使用、加工环节，未建立严格的审批流程，存在未经审批擅自使用、加工核心数据、重要数据的情况，数据加工过程未留存操作日志，加工后的数据敏感性评估不及时；四是数据传输环节，未采用安全可靠的传输方式，未对传输的数据进行加密处理，跨部门、跨系统数据传输未落实安全管控措施，存在数据泄露风险；五是数据删除环节，未建立数据删除审批制度和操作规程，删除过程未留存记录，部分已终止业务对应的业务数据未按规定删除或归档，违反人行</w:t>
      </w:r>
      <w:r w:rsidR="00000000">
        <w:rPr>
          <w:rFonts w:ascii="Arial" w:eastAsia="等线" w:hAnsi="Arial" w:cs="Arial"/>
        </w:rPr>
        <w:t>3</w:t>
      </w:r>
      <w:r w:rsidR="00000000">
        <w:rPr>
          <w:rFonts w:ascii="Arial" w:eastAsia="等线" w:hAnsi="Arial" w:cs="Arial"/>
        </w:rPr>
        <w:t>号令第三章、第四章关于全流程业务数据安全管理和技术要求的相关规定。</w:t>
      </w:r>
    </w:p>
    <w:p w14:paraId="092AAB1E" w14:textId="7DA38985"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数据安全风险与事件管理不完善。未建立健全数据安全风险监测机制，未配备必要的风险监测工具，无法及时发现数据篡改、破坏、泄露等风险隐患；未定期开展数据安全风险评估与审计，风险评估范围未覆盖全部业务领域和数据类型，评估结果未用于优化数据安全防护措施；未按人行</w:t>
      </w:r>
      <w:r w:rsidR="00000000">
        <w:rPr>
          <w:rFonts w:ascii="Arial" w:eastAsia="等线" w:hAnsi="Arial" w:cs="Arial"/>
        </w:rPr>
        <w:t>3</w:t>
      </w:r>
      <w:r w:rsidR="00000000">
        <w:rPr>
          <w:rFonts w:ascii="Arial" w:eastAsia="等线" w:hAnsi="Arial" w:cs="Arial"/>
        </w:rPr>
        <w:t>号令要求建立数据安全事件分级机制和应急处置预案，应急处置流程不明确，应急处置队伍和物资保障不足，未定期开展应急演练；发生数据安全事件后，未按规定及时向中国人民银行及其分支机构报告，也未采取有效的处置措施控制风险扩散，违反人行</w:t>
      </w:r>
      <w:r w:rsidR="00000000">
        <w:rPr>
          <w:rFonts w:ascii="Arial" w:eastAsia="等线" w:hAnsi="Arial" w:cs="Arial"/>
        </w:rPr>
        <w:t>3</w:t>
      </w:r>
      <w:r w:rsidR="00000000">
        <w:rPr>
          <w:rFonts w:ascii="Arial" w:eastAsia="等线" w:hAnsi="Arial" w:cs="Arial"/>
        </w:rPr>
        <w:t>号令第五章关于业务数据安全风险与事件管理的相关规定。</w:t>
      </w:r>
    </w:p>
    <w:p w14:paraId="44F35CEA" w14:textId="71F6C70F"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数据管理责任体系不健全。未严格落实</w:t>
      </w:r>
      <w:r w:rsidR="00000000">
        <w:rPr>
          <w:rFonts w:ascii="Arial" w:eastAsia="等线" w:hAnsi="Arial" w:cs="Arial"/>
        </w:rPr>
        <w:t>“</w:t>
      </w:r>
      <w:r w:rsidR="00000000">
        <w:rPr>
          <w:rFonts w:ascii="Arial" w:eastAsia="等线" w:hAnsi="Arial" w:cs="Arial"/>
        </w:rPr>
        <w:t>谁管业务，谁管业务数据，谁管数据安全</w:t>
      </w:r>
      <w:r w:rsidR="00000000">
        <w:rPr>
          <w:rFonts w:ascii="Arial" w:eastAsia="等线" w:hAnsi="Arial" w:cs="Arial"/>
        </w:rPr>
        <w:t>”</w:t>
      </w:r>
      <w:r w:rsidR="00000000">
        <w:rPr>
          <w:rFonts w:ascii="Arial" w:eastAsia="等线" w:hAnsi="Arial" w:cs="Arial"/>
        </w:rPr>
        <w:t>的原则，未明确各业务领域、各部门、各岗位的数据管理职责，数据管理牵头部门履职不到位，未有效统筹协调全机构数据安全管理工作；未建立数据安全责任制，未明确主要负责人为数据安全第一责任人、分管负责人为直接责任人的责任体系，未建立违规情形和责任追究事项清单，未落实问责处置机制；数据管理岗位人员配备不足，专业能力不足，未定期开展数据安全宣贯培训，员工数据安全保护意识薄弱，违反人行</w:t>
      </w:r>
      <w:r w:rsidR="00000000">
        <w:rPr>
          <w:rFonts w:ascii="Arial" w:eastAsia="等线" w:hAnsi="Arial" w:cs="Arial"/>
        </w:rPr>
        <w:t>3</w:t>
      </w:r>
      <w:r w:rsidR="00000000">
        <w:rPr>
          <w:rFonts w:ascii="Arial" w:eastAsia="等线" w:hAnsi="Arial" w:cs="Arial"/>
        </w:rPr>
        <w:t>号令第一章、第二章关于数据管理原则和责任体系的相关规定。</w:t>
      </w:r>
    </w:p>
    <w:p w14:paraId="47404DA1" w14:textId="58B10F3D" w:rsidR="00BA7D90" w:rsidRDefault="00A469AE" w:rsidP="00A469AE">
      <w:pPr>
        <w:spacing w:before="120" w:after="120" w:line="288" w:lineRule="auto"/>
        <w:ind w:firstLineChars="200" w:firstLine="440"/>
        <w:rPr>
          <w:rFonts w:hint="eastAsia"/>
        </w:rPr>
      </w:pPr>
      <w:r>
        <w:rPr>
          <w:rFonts w:ascii="Arial" w:eastAsia="等线" w:hAnsi="Arial" w:cs="Arial" w:hint="eastAsia"/>
        </w:rPr>
        <w:t>5.</w:t>
      </w:r>
      <w:r w:rsidR="00000000">
        <w:rPr>
          <w:rFonts w:ascii="Arial" w:eastAsia="等线" w:hAnsi="Arial" w:cs="Arial"/>
        </w:rPr>
        <w:t>数据共享与外部合作管理不合规。未建立健全数据共享管理制度，内部跨部门数据共享未履行审批流程，未明确共享范围和权限；与外部机构开展数据合作时，未对合作方的数据安全保障能力进行充分评估，未签订完善的数据安全合作协议，未明确双方的数据安全责任和义务；未将数据委托处理纳入信息科技外包管理范围，存在将数据安全主体责任外包的情况，对受托方的数据处理活动未进行有效监督，未要求受托方不得转委托、不得擅自共享数据，违反人行</w:t>
      </w:r>
      <w:r w:rsidR="00000000">
        <w:rPr>
          <w:rFonts w:ascii="Arial" w:eastAsia="等线" w:hAnsi="Arial" w:cs="Arial"/>
        </w:rPr>
        <w:t>3</w:t>
      </w:r>
      <w:r w:rsidR="00000000">
        <w:rPr>
          <w:rFonts w:ascii="Arial" w:eastAsia="等线" w:hAnsi="Arial" w:cs="Arial"/>
        </w:rPr>
        <w:t>号令及配套监管要求的相关规定。</w:t>
      </w:r>
    </w:p>
    <w:p w14:paraId="08EF046A" w14:textId="0D6A5886" w:rsidR="00BA7D90" w:rsidRDefault="00000000">
      <w:pPr>
        <w:spacing w:before="320" w:after="120" w:line="288" w:lineRule="auto"/>
        <w:outlineLvl w:val="1"/>
        <w:rPr>
          <w:rFonts w:hint="eastAsia"/>
        </w:rPr>
      </w:pPr>
      <w:bookmarkStart w:id="8" w:name="heading_8"/>
      <w:r>
        <w:rPr>
          <w:rFonts w:ascii="Arial" w:eastAsia="等线" w:hAnsi="Arial" w:cs="Arial"/>
          <w:b/>
          <w:sz w:val="32"/>
        </w:rPr>
        <w:t>（二）违反《数据安全法》相关问题</w:t>
      </w:r>
      <w:bookmarkEnd w:id="8"/>
    </w:p>
    <w:p w14:paraId="548911B3" w14:textId="77777777" w:rsidR="00BA7D90" w:rsidRDefault="00000000" w:rsidP="00A469AE">
      <w:pPr>
        <w:spacing w:before="120" w:after="120" w:line="288" w:lineRule="auto"/>
        <w:ind w:firstLineChars="200" w:firstLine="440"/>
        <w:rPr>
          <w:rFonts w:hint="eastAsia"/>
        </w:rPr>
      </w:pPr>
      <w:r>
        <w:rPr>
          <w:rFonts w:ascii="Arial" w:eastAsia="等线" w:hAnsi="Arial" w:cs="Arial"/>
        </w:rPr>
        <w:t>结合《数据安全法》关于数据安全与发展、数据安全制度、数据安全保护义务、政务数据安全与开放等核心要求，预设以下审计问题：</w:t>
      </w:r>
    </w:p>
    <w:p w14:paraId="2978ECE6" w14:textId="41DE7E49" w:rsidR="00BA7D90" w:rsidRDefault="00A469AE" w:rsidP="00A469AE">
      <w:pPr>
        <w:spacing w:before="120" w:after="120" w:line="288" w:lineRule="auto"/>
        <w:ind w:firstLineChars="200" w:firstLine="440"/>
        <w:rPr>
          <w:rFonts w:hint="eastAsia"/>
        </w:rPr>
      </w:pPr>
      <w:r>
        <w:rPr>
          <w:rFonts w:ascii="Arial" w:eastAsia="等线" w:hAnsi="Arial" w:cs="Arial" w:hint="eastAsia"/>
        </w:rPr>
        <w:lastRenderedPageBreak/>
        <w:t>1.</w:t>
      </w:r>
      <w:r w:rsidR="00000000">
        <w:rPr>
          <w:rFonts w:ascii="Arial" w:eastAsia="等线" w:hAnsi="Arial" w:cs="Arial"/>
        </w:rPr>
        <w:t>数据安全管理制度缺失或不完善。未结合机构实际情况，制定完善的数据安全管理制度和操作规程，制度内容未覆盖数据全生命周期管理、数据安全风险防控、数据安全事件处置等核心环节；未定期对数据安全管理制度进行修订和完善，无法适应金融行业数字化转型和监管政策变化带来的数据安全管理需求；数据安全管理制度未有效落地执行，存在</w:t>
      </w:r>
      <w:r w:rsidR="00000000">
        <w:rPr>
          <w:rFonts w:ascii="Arial" w:eastAsia="等线" w:hAnsi="Arial" w:cs="Arial"/>
        </w:rPr>
        <w:t>“</w:t>
      </w:r>
      <w:r w:rsidR="00000000">
        <w:rPr>
          <w:rFonts w:ascii="Arial" w:eastAsia="等线" w:hAnsi="Arial" w:cs="Arial"/>
        </w:rPr>
        <w:t>重制定、轻执行</w:t>
      </w:r>
      <w:r w:rsidR="00000000">
        <w:rPr>
          <w:rFonts w:ascii="Arial" w:eastAsia="等线" w:hAnsi="Arial" w:cs="Arial"/>
        </w:rPr>
        <w:t>”</w:t>
      </w:r>
      <w:r w:rsidR="00000000">
        <w:rPr>
          <w:rFonts w:ascii="Arial" w:eastAsia="等线" w:hAnsi="Arial" w:cs="Arial"/>
        </w:rPr>
        <w:t>的情况，违反《数据安全法》第二十一条、第二十二条的相关规定。</w:t>
      </w:r>
    </w:p>
    <w:p w14:paraId="1F250A79" w14:textId="75866135"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重要数据与核心数据安全保护不到位。未明确本机构重要数据、核心数据的具体范围，未建立重要数据、核心数据目录并实施动态管理；未对重要数据、核心数据采取特殊的安全保护措施，未落实数据加密、访问控制、安全审计等防护要求；重要数据、核心数据的出境未按规定进行安全评估，未取得相关监管部门批准，存在数据出境安全风险；未定期对重要数据、核心数据的安全保护情况进行检查和评估，违反《数据安全法》第二十七条、第二十八条、第三十一条的相关规定。</w:t>
      </w:r>
    </w:p>
    <w:p w14:paraId="6B0F9268" w14:textId="64ED5ADF"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数据处理活动合规性不足。数据收集未遵循合法、正当、必要、诚信的原则，存在非法收集、窃取、滥用数据的情况；数据处理过程中，未采取有效的安全防护措施，导致数据被篡改、破坏、泄露或者非法获取、非法利用；未按规定开展数据安全风险评估，风险评估结果未向监管部门报备；数据处理活动终止后，未按规定对数据进行妥善处置，未保障数据主体的合法权益，违反《数据安全法》第三十二条、第三十三条、第三十四条的相关规定。</w:t>
      </w:r>
    </w:p>
    <w:p w14:paraId="4F708070" w14:textId="7CDE4CF4"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数据安全监督与问责机制缺失。未建立健全数据安全监督检查机制，未定期对本机构的数据处理活动和数据安全管理制度的执行情况进行监督检查；对监督检查中发现的数据安全问题，未及时督促整改，未建立整改跟踪机制；未建立数据安全问责机制，对违反数据安全管理制度、造成数据安全风险或事件的人员，未依法追究其责任，违反《数据安全法》第三十六条、第四十条的相关规定。</w:t>
      </w:r>
    </w:p>
    <w:p w14:paraId="29FC2ED1" w14:textId="335CA161" w:rsidR="00BA7D90" w:rsidRDefault="00A469AE" w:rsidP="00A469AE">
      <w:pPr>
        <w:spacing w:before="120" w:after="120" w:line="288" w:lineRule="auto"/>
        <w:ind w:firstLineChars="200" w:firstLine="440"/>
        <w:rPr>
          <w:rFonts w:hint="eastAsia"/>
        </w:rPr>
      </w:pPr>
      <w:r>
        <w:rPr>
          <w:rFonts w:ascii="Arial" w:eastAsia="等线" w:hAnsi="Arial" w:cs="Arial" w:hint="eastAsia"/>
        </w:rPr>
        <w:t>5.</w:t>
      </w:r>
      <w:r w:rsidR="00000000">
        <w:rPr>
          <w:rFonts w:ascii="Arial" w:eastAsia="等线" w:hAnsi="Arial" w:cs="Arial"/>
        </w:rPr>
        <w:t>数据安全技术与人才保障不足。未投入足够的资源用于数据安全技术研发和设施建设，未采用先进的安全技术和工具，数据安全防护能力薄弱；未建立数据安全人才培养和引进机制，数据安全岗位人员专业能力不足，无法满足数据安全管理工作需求；未与相关科研机构、企业开展数据安全技术合作，未及时吸收先进的数据安全技术和经验，违反《数据安全法》第二十九条、第三十条的相关规定。</w:t>
      </w:r>
    </w:p>
    <w:p w14:paraId="4A9CD181" w14:textId="094A7760" w:rsidR="00BA7D90" w:rsidRDefault="00000000">
      <w:pPr>
        <w:spacing w:before="320" w:after="120" w:line="288" w:lineRule="auto"/>
        <w:outlineLvl w:val="1"/>
        <w:rPr>
          <w:rFonts w:hint="eastAsia"/>
        </w:rPr>
      </w:pPr>
      <w:bookmarkStart w:id="9" w:name="heading_9"/>
      <w:r>
        <w:rPr>
          <w:rFonts w:ascii="Arial" w:eastAsia="等线" w:hAnsi="Arial" w:cs="Arial"/>
          <w:b/>
          <w:sz w:val="32"/>
        </w:rPr>
        <w:t>（三）违反《个人信息保护法》相关问题</w:t>
      </w:r>
      <w:bookmarkEnd w:id="9"/>
    </w:p>
    <w:p w14:paraId="7D1E29EF" w14:textId="77777777" w:rsidR="00BA7D90" w:rsidRDefault="00000000" w:rsidP="00A469AE">
      <w:pPr>
        <w:spacing w:before="120" w:after="120" w:line="288" w:lineRule="auto"/>
        <w:ind w:firstLineChars="200" w:firstLine="440"/>
        <w:rPr>
          <w:rFonts w:hint="eastAsia"/>
        </w:rPr>
      </w:pPr>
      <w:r>
        <w:rPr>
          <w:rFonts w:ascii="Arial" w:eastAsia="等线" w:hAnsi="Arial" w:cs="Arial"/>
        </w:rPr>
        <w:t>结合《个人信息保护法》关于个人信息处理规则、个人信息跨境提供规则、个人信息权益保障、个人信息保护监督管理等核心要求，结合金融行业个人金融信息敏感、数量大、涉及面广的特点，预设以下审计问题：</w:t>
      </w:r>
    </w:p>
    <w:p w14:paraId="093BC17F" w14:textId="5A68EFA5" w:rsidR="00BA7D90" w:rsidRDefault="00A469AE" w:rsidP="00A469AE">
      <w:pPr>
        <w:spacing w:before="120" w:after="120" w:line="288" w:lineRule="auto"/>
        <w:ind w:firstLineChars="200" w:firstLine="440"/>
        <w:rPr>
          <w:rFonts w:hint="eastAsia"/>
        </w:rPr>
      </w:pPr>
      <w:r>
        <w:rPr>
          <w:rFonts w:ascii="Arial" w:eastAsia="等线" w:hAnsi="Arial" w:cs="Arial" w:hint="eastAsia"/>
        </w:rPr>
        <w:t>1.</w:t>
      </w:r>
      <w:r w:rsidR="00000000">
        <w:rPr>
          <w:rFonts w:ascii="Arial" w:eastAsia="等线" w:hAnsi="Arial" w:cs="Arial"/>
        </w:rPr>
        <w:t>个人信息收集不合规。一是未明确告知被收集者个人信息的收集目的、收集范围、使用方式和保存期限，未获得被收集者的明示同意，存在默认勾选、捆绑授权等违规收集行为；二是超出业务必要范围收集个人信息，如仅需手机号注册的服务强制</w:t>
      </w:r>
      <w:r w:rsidR="00000000">
        <w:rPr>
          <w:rFonts w:ascii="Arial" w:eastAsia="等线" w:hAnsi="Arial" w:cs="Arial"/>
        </w:rPr>
        <w:lastRenderedPageBreak/>
        <w:t>收集身份证信息、家庭住址等无关信息；三是收集敏感个人金融信息（如银行卡密码、征信信息、财产状况等）时，未单独获得被收集者的书面或口头明示同意，未对收集行为进行专项说明，未告知敏感个人信息的处理目的和安全防护措施；四是未对个人信息收集过程进行记录，未留存同意凭证，违反《个人信息保护法》第十三条、第十四条、第十六条、第二十八条的相关规定。</w:t>
      </w:r>
    </w:p>
    <w:p w14:paraId="547AC86D" w14:textId="50FB5E05"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个人信息存储与使用不合规。一是未对个人信息进行加密存储，敏感个人金融信息未采取特殊加密保护措施，存储期限超出业务必要范围；二是未经被收集者同意，擅自将个人信息用于与业务无关的目的，如将个人金融信息用于第三方营销；三是未建立个人信息访问控制机制，未落实最小权限原则，存在未经审批擅自访问、查询个人信息的情况，访问日志未留存或留存期限不足</w:t>
      </w:r>
      <w:r w:rsidR="00000000">
        <w:rPr>
          <w:rFonts w:ascii="Arial" w:eastAsia="等线" w:hAnsi="Arial" w:cs="Arial"/>
        </w:rPr>
        <w:t>6</w:t>
      </w:r>
      <w:r w:rsidR="00000000">
        <w:rPr>
          <w:rFonts w:ascii="Arial" w:eastAsia="等线" w:hAnsi="Arial" w:cs="Arial"/>
        </w:rPr>
        <w:t>个月；四是对个人信息进行加工、分析时，未采取去标识化、匿名化等安全措施，可能导致个人信息泄露或被滥用，违反《个人信息保护法》第二十二条、第二十三条、第二十九条、第三十二条的相关规定。</w:t>
      </w:r>
    </w:p>
    <w:p w14:paraId="0567ECA5" w14:textId="3DEBB496"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个人信息共享、转让与跨境提供不合规。一是与第三方共享个人信息时，未获得被收集者的明示同意，未对第三方的个人信息保护能力进行充分评估，未签订个人信息共享协议，未明确双方的责任和义务；二是转让个人信息时，未履行告知义务，未获得被收集者同意，未对受让方的个人信息保护能力进行审核；三是向境外提供个人信息时，未按规定进行安全评估，未取得相关监管部门批准，未采取有效的安全防护措施，违反《个人信息保护法》第二十三条、第三十八条、第三十九条的相关规定。</w:t>
      </w:r>
    </w:p>
    <w:p w14:paraId="7EEE30C2" w14:textId="2E949B32"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个人信息主体权益保障不到位。未建立个人信息查询、更正、删除、撤回同意的渠道和流程，未及时响应个人信息主体的合理请求；未告知个人信息主体其享有的权利及行使权利的方式，未建立个人信息主体投诉举报机制，对投诉举报的处理不及时、不规范；未按规定开展个人信息保护影响评估，评估范围未覆盖敏感个人信息处理场景，评估结果未用于优化个人信息保护措施，违反《个人信息保护法》第四十五条、第四十六条、第四十七条、第五十四条的相关规定。</w:t>
      </w:r>
    </w:p>
    <w:p w14:paraId="12D172DF" w14:textId="21787C48" w:rsidR="00BA7D90" w:rsidRDefault="00A469AE" w:rsidP="00A469AE">
      <w:pPr>
        <w:spacing w:before="120" w:after="120" w:line="288" w:lineRule="auto"/>
        <w:ind w:firstLineChars="200" w:firstLine="440"/>
        <w:rPr>
          <w:rFonts w:hint="eastAsia"/>
        </w:rPr>
      </w:pPr>
      <w:r>
        <w:rPr>
          <w:rFonts w:ascii="Arial" w:eastAsia="等线" w:hAnsi="Arial" w:cs="Arial" w:hint="eastAsia"/>
        </w:rPr>
        <w:t>5.</w:t>
      </w:r>
      <w:r w:rsidR="00000000">
        <w:rPr>
          <w:rFonts w:ascii="Arial" w:eastAsia="等线" w:hAnsi="Arial" w:cs="Arial"/>
        </w:rPr>
        <w:t>个人信息保护监督管理缺失。未指定专人负责个人信息保护工作，未建立个人信息保护监督检查机制；未定期开展个人信息保护合规审计，金融领域未按要求每年开展一次全面审计；未对员工开展个人信息保护培训，员工个人信息保护意识薄弱，存在违规泄露、滥用个人信息的风险，违反《个人信息保护法》第五十一条、第五十四条、第五十六条的相关规定。</w:t>
      </w:r>
    </w:p>
    <w:p w14:paraId="08309A2D" w14:textId="099E6351" w:rsidR="00BA7D90" w:rsidRDefault="00000000">
      <w:pPr>
        <w:spacing w:before="320" w:after="120" w:line="288" w:lineRule="auto"/>
        <w:outlineLvl w:val="1"/>
        <w:rPr>
          <w:rFonts w:hint="eastAsia"/>
        </w:rPr>
      </w:pPr>
      <w:bookmarkStart w:id="10" w:name="heading_10"/>
      <w:r>
        <w:rPr>
          <w:rFonts w:ascii="Arial" w:eastAsia="等线" w:hAnsi="Arial" w:cs="Arial"/>
          <w:b/>
          <w:sz w:val="32"/>
        </w:rPr>
        <w:t>（四）违反《网络安全法》相关问题</w:t>
      </w:r>
      <w:bookmarkEnd w:id="10"/>
    </w:p>
    <w:p w14:paraId="4B975690" w14:textId="77777777" w:rsidR="00BA7D90" w:rsidRDefault="00000000" w:rsidP="00A469AE">
      <w:pPr>
        <w:spacing w:before="120" w:after="120" w:line="288" w:lineRule="auto"/>
        <w:ind w:firstLineChars="200" w:firstLine="440"/>
        <w:rPr>
          <w:rFonts w:hint="eastAsia"/>
        </w:rPr>
      </w:pPr>
      <w:r>
        <w:rPr>
          <w:rFonts w:ascii="Arial" w:eastAsia="等线" w:hAnsi="Arial" w:cs="Arial"/>
        </w:rPr>
        <w:t>结合《网络安全法》关于网络安全支持与促进、网络运行安全、网络信息安全、监测预警与应急处置等核心要求，结合金融行业网络系统敏感性高、承载数据重要的特点，预设以下审计问题：</w:t>
      </w:r>
    </w:p>
    <w:p w14:paraId="07E09E38" w14:textId="64EE1F69" w:rsidR="00BA7D90" w:rsidRDefault="00A469AE" w:rsidP="00A469AE">
      <w:pPr>
        <w:spacing w:before="120" w:after="120" w:line="288" w:lineRule="auto"/>
        <w:ind w:firstLineChars="200" w:firstLine="440"/>
        <w:rPr>
          <w:rFonts w:hint="eastAsia"/>
        </w:rPr>
      </w:pPr>
      <w:r>
        <w:rPr>
          <w:rFonts w:ascii="Arial" w:eastAsia="等线" w:hAnsi="Arial" w:cs="Arial" w:hint="eastAsia"/>
        </w:rPr>
        <w:lastRenderedPageBreak/>
        <w:t>1.</w:t>
      </w:r>
      <w:r w:rsidR="00000000">
        <w:rPr>
          <w:rFonts w:ascii="Arial" w:eastAsia="等线" w:hAnsi="Arial" w:cs="Arial"/>
        </w:rPr>
        <w:t>网络安全管理制度与防护体系不完善。未制定完善的网络安全管理制度和操作规程，未建立健全网络安全防护体系，未落实网络安全等级保护制度，核心网络和信息系统未按规定开展等级保护测评；未配备必要的网络安全防护设备和软件，如防火墙、入侵检测系统、数据加密设备等，防护设备未及时更新升级，无法有效防范网络攻击、病毒感染等风险；未建立网络安全责任制，未明确网络安全管理职责，网络安全岗位人员配备不足，专业能力不足，违反《网络安全法》第二十一条、第二十二条、第二十三条的相关规定。</w:t>
      </w:r>
    </w:p>
    <w:p w14:paraId="4F227DE5" w14:textId="652F0C4C"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网络运行安全保障不足。核心网络和信息系统未建立冗余备份机制，未定期开展网络运行状态监测，无法及时发现和处置网络故障、网络攻击等问题；网络设备和软件的配置不规范，存在安全漏洞，未定期开展安全漏洞扫描和修复；未建立网络访问控制机制，未严格控制网络访问权限，未经审批擅自接入网络、变更网络配置的情况时有发生；网络日志未留存或留存期限不足</w:t>
      </w:r>
      <w:r w:rsidR="00000000">
        <w:rPr>
          <w:rFonts w:ascii="Arial" w:eastAsia="等线" w:hAnsi="Arial" w:cs="Arial"/>
        </w:rPr>
        <w:t>6</w:t>
      </w:r>
      <w:r w:rsidR="00000000">
        <w:rPr>
          <w:rFonts w:ascii="Arial" w:eastAsia="等线" w:hAnsi="Arial" w:cs="Arial"/>
        </w:rPr>
        <w:t>个月，无法为网络安全事件追溯提供支撑，违反《网络安全法》第二十一条、第二十五条、第二十六条的相关规定。</w:t>
      </w:r>
    </w:p>
    <w:p w14:paraId="794492D4" w14:textId="2E229E50"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网络信息安全保护不到位。未建立网络信息安全管理制度，未采取有效的技术措施和管理措施，防范网络信息被篡改、删除、泄露、非法获取、非法利用；网络发布的信息未进行审核，存在违规发布信息的情况；未对网络信息进行定期清理，过期信息未及时删除，存在信息安全风险；未建立网络信息安全应急处置机制，发生网络信息安全事件后，未及时采取处置措施，违反《网络安全法》第四十条、第四十一条、第四十二条的相关规定。</w:t>
      </w:r>
    </w:p>
    <w:p w14:paraId="56C1CAA5" w14:textId="4A381956"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网络安全监测预警与应急处置不完善。未建立网络安全监测预警机制，未配备必要的监测预警工具，无法及时发现网络安全风险隐患；未制定网络安全应急处置预案，应急处置流程不明确，应急处置队伍和物资保障不足，未定期开展应急演练；发生网络安全事件后，未按规定及时向监管部门报告，未采取有效的处置措施控制风险扩散，未对网络安全事件进行复盘分析，违反《网络安全法》第二十五条、第四十七条、第四十八条的相关规定。</w:t>
      </w:r>
    </w:p>
    <w:p w14:paraId="6388110D" w14:textId="1B37E0F1" w:rsidR="00BA7D90" w:rsidRDefault="00A469AE" w:rsidP="00A469AE">
      <w:pPr>
        <w:spacing w:before="120" w:after="120" w:line="288" w:lineRule="auto"/>
        <w:ind w:firstLineChars="200" w:firstLine="440"/>
        <w:rPr>
          <w:rFonts w:hint="eastAsia"/>
        </w:rPr>
      </w:pPr>
      <w:r>
        <w:rPr>
          <w:rFonts w:ascii="Arial" w:eastAsia="等线" w:hAnsi="Arial" w:cs="Arial" w:hint="eastAsia"/>
        </w:rPr>
        <w:t>5.</w:t>
      </w:r>
      <w:r w:rsidR="00000000">
        <w:rPr>
          <w:rFonts w:ascii="Arial" w:eastAsia="等线" w:hAnsi="Arial" w:cs="Arial"/>
        </w:rPr>
        <w:t>网络安全培训与意识教育不足。未定期开展网络安全培训，未对员工进行网络安全意识教育，员工网络安全防护意识薄弱，存在使用弱密码、违规接入外部网络、点击恶意链接等行为；未建立网络安全考核机制，未将网络安全工作纳入员工绩效考核，员工网络安全工作积极性不足，违反《网络安全法》第二十七条、第三十八条的相关规定。</w:t>
      </w:r>
    </w:p>
    <w:p w14:paraId="76031C40" w14:textId="7C776812" w:rsidR="00BA7D90" w:rsidRDefault="00000000">
      <w:pPr>
        <w:spacing w:before="320" w:after="120" w:line="288" w:lineRule="auto"/>
        <w:outlineLvl w:val="1"/>
        <w:rPr>
          <w:rFonts w:hint="eastAsia"/>
        </w:rPr>
      </w:pPr>
      <w:bookmarkStart w:id="11" w:name="heading_11"/>
      <w:r>
        <w:rPr>
          <w:rFonts w:ascii="Arial" w:eastAsia="等线" w:hAnsi="Arial" w:cs="Arial"/>
          <w:b/>
          <w:sz w:val="32"/>
        </w:rPr>
        <w:t>（五）违反生成式人工智能相关办法相关问题</w:t>
      </w:r>
      <w:bookmarkEnd w:id="11"/>
    </w:p>
    <w:p w14:paraId="705FBF1B" w14:textId="77777777" w:rsidR="00BA7D90" w:rsidRDefault="00000000" w:rsidP="00A469AE">
      <w:pPr>
        <w:spacing w:before="120" w:after="120" w:line="288" w:lineRule="auto"/>
        <w:ind w:firstLineChars="200" w:firstLine="440"/>
        <w:rPr>
          <w:rFonts w:hint="eastAsia"/>
        </w:rPr>
      </w:pPr>
      <w:r>
        <w:rPr>
          <w:rFonts w:ascii="Arial" w:eastAsia="等线" w:hAnsi="Arial" w:cs="Arial"/>
        </w:rPr>
        <w:t>结合《生成式人工智能服务管理暂行办法》关于生成式人工智能服务规范、训练数据管理、算法安全、安全评估与备案等核心要求，结合金融行业生成式人工智能应用场景（如智能客服、风控建模、合规咨询、产品推荐等），预设以下审计问题：</w:t>
      </w:r>
    </w:p>
    <w:p w14:paraId="24335264" w14:textId="7D2527A6" w:rsidR="00BA7D90" w:rsidRDefault="00A469AE" w:rsidP="00A469AE">
      <w:pPr>
        <w:spacing w:before="120" w:after="120" w:line="288" w:lineRule="auto"/>
        <w:ind w:firstLineChars="200" w:firstLine="440"/>
        <w:rPr>
          <w:rFonts w:hint="eastAsia"/>
        </w:rPr>
      </w:pPr>
      <w:r>
        <w:rPr>
          <w:rFonts w:ascii="Arial" w:eastAsia="等线" w:hAnsi="Arial" w:cs="Arial" w:hint="eastAsia"/>
        </w:rPr>
        <w:t>1.</w:t>
      </w:r>
      <w:r w:rsidR="00000000">
        <w:rPr>
          <w:rFonts w:ascii="Arial" w:eastAsia="等线" w:hAnsi="Arial" w:cs="Arial"/>
        </w:rPr>
        <w:t>生成式人工智能主体资质与备案不合规。被审计机构开展金融领域生成式人工</w:t>
      </w:r>
      <w:r w:rsidR="00000000">
        <w:rPr>
          <w:rFonts w:ascii="Arial" w:eastAsia="等线" w:hAnsi="Arial" w:cs="Arial"/>
        </w:rPr>
        <w:lastRenderedPageBreak/>
        <w:t>智能服务时，未持有对应金融牌照，违规开展涉金融决策类生成式</w:t>
      </w:r>
      <w:r w:rsidR="00000000">
        <w:rPr>
          <w:rFonts w:ascii="Arial" w:eastAsia="等线" w:hAnsi="Arial" w:cs="Arial"/>
        </w:rPr>
        <w:t>AI</w:t>
      </w:r>
      <w:r w:rsidR="00000000">
        <w:rPr>
          <w:rFonts w:ascii="Arial" w:eastAsia="等线" w:hAnsi="Arial" w:cs="Arial"/>
        </w:rPr>
        <w:t>服务；未按规定完成生成式人工智能模型备案和算法备案，未接受银保监</w:t>
      </w:r>
      <w:r w:rsidR="00000000">
        <w:rPr>
          <w:rFonts w:ascii="Arial" w:eastAsia="等线" w:hAnsi="Arial" w:cs="Arial"/>
        </w:rPr>
        <w:t>/</w:t>
      </w:r>
      <w:r w:rsidR="00000000">
        <w:rPr>
          <w:rFonts w:ascii="Arial" w:eastAsia="等线" w:hAnsi="Arial" w:cs="Arial"/>
        </w:rPr>
        <w:t>证监会与网信部门的双重审核；未按要求每月更新风控词库、季度提交合规自查报告，模型变更未按规定向双部门报备，违反《生成式人工智能服务管理暂行办法》及金融行业</w:t>
      </w:r>
      <w:r w:rsidR="00000000">
        <w:rPr>
          <w:rFonts w:ascii="Arial" w:eastAsia="等线" w:hAnsi="Arial" w:cs="Arial"/>
        </w:rPr>
        <w:t>AI</w:t>
      </w:r>
      <w:r w:rsidR="00000000">
        <w:rPr>
          <w:rFonts w:ascii="Arial" w:eastAsia="等线" w:hAnsi="Arial" w:cs="Arial"/>
        </w:rPr>
        <w:t>应用专项监管要求。</w:t>
      </w:r>
    </w:p>
    <w:p w14:paraId="5FEC893D" w14:textId="5CEBD07F"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训练数据管理不合规。一是训练数据收集未遵循合法、正当、必要的原则，存在使用非法获取、窃取的金融数据、个人信息作为训练数据的情况；二是训练数据未进行清洗、校验，数据质量不合格，存在虚假、错误、冗余的数据，影响生成式人工智能输出结果的准确性和合规性；三是训练数据中包含敏感个人信息、核心金融数据，未采取去标识化、匿名化等安全保护措施，存在数据泄露风险；四是未建立训练数据管理制度，未留存训练数据收集、处理、使用的相关记录，训练数据来源无法追溯，违反《生成式人工智能服务管理暂行办法》关于训练数据处理活动的相关规定及人行</w:t>
      </w:r>
      <w:r w:rsidR="00000000">
        <w:rPr>
          <w:rFonts w:ascii="Arial" w:eastAsia="等线" w:hAnsi="Arial" w:cs="Arial"/>
        </w:rPr>
        <w:t>3</w:t>
      </w:r>
      <w:r w:rsidR="00000000">
        <w:rPr>
          <w:rFonts w:ascii="Arial" w:eastAsia="等线" w:hAnsi="Arial" w:cs="Arial"/>
        </w:rPr>
        <w:t>号令、数据安全法、个保法的配套要求。</w:t>
      </w:r>
    </w:p>
    <w:p w14:paraId="1059CADF" w14:textId="711F5BC1"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生成式人工智能应用合规性不足。一是生成式人工智能输出结果存在虚假、误导性信息，如虚假金融产品介绍、错误的风控建议等，可能误导客户或影响业务决策；二是未对生成式人工智能输出结果进行审核和校验，未建立输出结果审核机制，违规输出违法违规、违背公序良俗的内容；三是生成式人工智能应用场景超出备案范围，擅自扩大应用领域，如将备案用于智能客服的模型用于信贷审批决策；四是未在生成内容（如图片、文字回复等）上进行标识，不符合生成式人工智能服务标识要求，违反《生成式人工智能服务管理暂行办法》关于生成式人工智能服务规范的相关规定。</w:t>
      </w:r>
    </w:p>
    <w:p w14:paraId="5FC87B17" w14:textId="0CED1DD6"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算法安全与风险防控不到位。未建立生成式人工智能算法安全管理制度，未对算法设计、开发、部署、使用等环节进行安全管控；算法存在安全漏洞，未定期开展算法安全评估和漏洞扫描，无法防范算法被篡改、滥用的风险；未建立算法透明化机制，算法决策过程不透明，无法进行追溯和审计；未配备金融监管专家、风控专员参与算法设计和审核，核心岗位人员未具备相应金融从业资格，未建立专项风控团队，违反《生成式人工智能服务管理暂行办法》关于算法安全的相关规定及金融行业</w:t>
      </w:r>
      <w:r w:rsidR="00000000">
        <w:rPr>
          <w:rFonts w:ascii="Arial" w:eastAsia="等线" w:hAnsi="Arial" w:cs="Arial"/>
        </w:rPr>
        <w:t>AI</w:t>
      </w:r>
      <w:r w:rsidR="00000000">
        <w:rPr>
          <w:rFonts w:ascii="Arial" w:eastAsia="等线" w:hAnsi="Arial" w:cs="Arial"/>
        </w:rPr>
        <w:t>风控要求。</w:t>
      </w:r>
    </w:p>
    <w:p w14:paraId="29271665" w14:textId="0249F890" w:rsidR="00BA7D90" w:rsidRDefault="00A469AE" w:rsidP="00A469AE">
      <w:pPr>
        <w:spacing w:before="120" w:after="120" w:line="288" w:lineRule="auto"/>
        <w:ind w:firstLineChars="200" w:firstLine="440"/>
        <w:rPr>
          <w:rFonts w:hint="eastAsia"/>
        </w:rPr>
      </w:pPr>
      <w:r>
        <w:rPr>
          <w:rFonts w:ascii="Arial" w:eastAsia="等线" w:hAnsi="Arial" w:cs="Arial" w:hint="eastAsia"/>
        </w:rPr>
        <w:t>5.</w:t>
      </w:r>
      <w:r w:rsidR="00000000">
        <w:rPr>
          <w:rFonts w:ascii="Arial" w:eastAsia="等线" w:hAnsi="Arial" w:cs="Arial"/>
        </w:rPr>
        <w:t>生成式人工智能数据安全保护不足。生成式人工智能应用系统未采取有效的数据安全防护措施，未落实网络安全等级保护要求，无法防范数据泄露、篡改、破坏等风险；未建立生成式人工智能应用数据备份机制，未定期开展备份恢复测试；未对生成式人工智能应用过程中的数据访问行为进行记录和审计，未落实最小权限原则；发生生成式人工智能相关数据安全事件后，未按规定及时处置和报告，违反《生成式人工智能服务管理暂行办法》及网络安全法、数据安全法的相关规定。</w:t>
      </w:r>
    </w:p>
    <w:p w14:paraId="5B92EFE4" w14:textId="7AB11872" w:rsidR="00BA7D90" w:rsidRDefault="00A469AE" w:rsidP="00A469AE">
      <w:pPr>
        <w:spacing w:before="120" w:after="120" w:line="288" w:lineRule="auto"/>
        <w:ind w:firstLineChars="200" w:firstLine="440"/>
        <w:rPr>
          <w:rFonts w:hint="eastAsia"/>
        </w:rPr>
      </w:pPr>
      <w:r>
        <w:rPr>
          <w:rFonts w:ascii="Arial" w:eastAsia="等线" w:hAnsi="Arial" w:cs="Arial" w:hint="eastAsia"/>
        </w:rPr>
        <w:t>6.</w:t>
      </w:r>
      <w:r w:rsidR="00000000">
        <w:rPr>
          <w:rFonts w:ascii="Arial" w:eastAsia="等线" w:hAnsi="Arial" w:cs="Arial"/>
        </w:rPr>
        <w:t>人工监督与伦理管控缺失。未在生成式人工智能生命周期中落实人工监督要求，关键业务场景（如信贷审批、合规审计）未设置人工复核环节；未建立生成式人工智能伦理评估机制，未有效应对</w:t>
      </w:r>
      <w:r w:rsidR="00000000">
        <w:rPr>
          <w:rFonts w:ascii="Arial" w:eastAsia="等线" w:hAnsi="Arial" w:cs="Arial"/>
        </w:rPr>
        <w:t>AI</w:t>
      </w:r>
      <w:r w:rsidR="00000000">
        <w:rPr>
          <w:rFonts w:ascii="Arial" w:eastAsia="等线" w:hAnsi="Arial" w:cs="Arial"/>
        </w:rPr>
        <w:t>应用可能产生的规则冲突、社会风险、伦理道德</w:t>
      </w:r>
      <w:r w:rsidR="00000000">
        <w:rPr>
          <w:rFonts w:ascii="Arial" w:eastAsia="等线" w:hAnsi="Arial" w:cs="Arial"/>
        </w:rPr>
        <w:lastRenderedPageBreak/>
        <w:t>风险，未防止数据与科技被误用、滥用；未对生成式人工智能应用效果进行定期评估，未及时发现和整改应用过程中存在的数据安全和合规风险，违反《生成式人工智能服务管理暂行办法》及金融行业</w:t>
      </w:r>
      <w:r w:rsidR="00000000">
        <w:rPr>
          <w:rFonts w:ascii="Arial" w:eastAsia="等线" w:hAnsi="Arial" w:cs="Arial"/>
        </w:rPr>
        <w:t>AI</w:t>
      </w:r>
      <w:r w:rsidR="00000000">
        <w:rPr>
          <w:rFonts w:ascii="Arial" w:eastAsia="等线" w:hAnsi="Arial" w:cs="Arial"/>
        </w:rPr>
        <w:t>伦理规范要求。</w:t>
      </w:r>
    </w:p>
    <w:p w14:paraId="2F09D772" w14:textId="3B47FA00" w:rsidR="00BA7D90" w:rsidRDefault="00000000" w:rsidP="00A469AE">
      <w:pPr>
        <w:pStyle w:val="a7"/>
        <w:numPr>
          <w:ilvl w:val="0"/>
          <w:numId w:val="70"/>
        </w:numPr>
        <w:spacing w:before="320" w:after="120" w:line="288" w:lineRule="auto"/>
        <w:ind w:firstLineChars="0"/>
        <w:outlineLvl w:val="1"/>
        <w:rPr>
          <w:rFonts w:hint="eastAsia"/>
        </w:rPr>
      </w:pPr>
      <w:bookmarkStart w:id="12" w:name="heading_12"/>
      <w:r w:rsidRPr="00A469AE">
        <w:rPr>
          <w:rFonts w:ascii="Arial" w:eastAsia="等线" w:hAnsi="Arial" w:cs="Arial"/>
          <w:b/>
          <w:sz w:val="32"/>
        </w:rPr>
        <w:t>共性问题</w:t>
      </w:r>
      <w:bookmarkEnd w:id="12"/>
    </w:p>
    <w:p w14:paraId="279AED2F" w14:textId="4B0BD30D" w:rsidR="00BA7D90" w:rsidRDefault="00A469AE" w:rsidP="00A469AE">
      <w:pPr>
        <w:spacing w:before="120" w:after="120" w:line="288" w:lineRule="auto"/>
        <w:ind w:firstLineChars="200" w:firstLine="440"/>
        <w:rPr>
          <w:rFonts w:hint="eastAsia"/>
        </w:rPr>
      </w:pPr>
      <w:r>
        <w:rPr>
          <w:rFonts w:ascii="Arial" w:eastAsia="等线" w:hAnsi="Arial" w:cs="Arial" w:hint="eastAsia"/>
        </w:rPr>
        <w:t>1.</w:t>
      </w:r>
      <w:r w:rsidR="00000000">
        <w:rPr>
          <w:rFonts w:ascii="Arial" w:eastAsia="等线" w:hAnsi="Arial" w:cs="Arial"/>
        </w:rPr>
        <w:t>数据管理意识薄弱。被审计机构管理层及员工对数据安全、个人信息保护、网络安全、生成式人工智能数据合规等重要性认识不足，未将数据管理工作纳入机构发展战略，重业务发展、轻数据管理的现象较为突出，数据合规意识和风险防控意识薄弱，违反各项核心制度关于数据安全保护的基本原则要求。</w:t>
      </w:r>
    </w:p>
    <w:p w14:paraId="7D89E376" w14:textId="33E3239E" w:rsidR="00BA7D90" w:rsidRDefault="00A469AE" w:rsidP="00A469AE">
      <w:pPr>
        <w:spacing w:before="120" w:after="120" w:line="288" w:lineRule="auto"/>
        <w:ind w:firstLineChars="200" w:firstLine="440"/>
        <w:rPr>
          <w:rFonts w:hint="eastAsia"/>
        </w:rPr>
      </w:pPr>
      <w:r>
        <w:rPr>
          <w:rFonts w:ascii="Arial" w:eastAsia="等线" w:hAnsi="Arial" w:cs="Arial" w:hint="eastAsia"/>
        </w:rPr>
        <w:t>2.</w:t>
      </w:r>
      <w:r w:rsidR="00000000">
        <w:rPr>
          <w:rFonts w:ascii="Arial" w:eastAsia="等线" w:hAnsi="Arial" w:cs="Arial"/>
        </w:rPr>
        <w:t>数据管理专业能力不足。数据管理、信息技术、风控合规等部门相关岗位人员专业能力不足，缺乏数据分类分级、数据安全防护、个人信息保护、网络安全、生成式人工智能合规管理等相关专业知识和技能；未建立常态化的培训机制，员工专业能力无法适应数据管理工作的需要，违反各项核心制度关于人才保障和培训的相关要求。</w:t>
      </w:r>
    </w:p>
    <w:p w14:paraId="2DE81955" w14:textId="6D5929ED" w:rsidR="00BA7D90" w:rsidRDefault="00A469AE" w:rsidP="00A469AE">
      <w:pPr>
        <w:spacing w:before="120" w:after="120" w:line="288" w:lineRule="auto"/>
        <w:ind w:firstLineChars="200" w:firstLine="440"/>
        <w:rPr>
          <w:rFonts w:hint="eastAsia"/>
        </w:rPr>
      </w:pPr>
      <w:r>
        <w:rPr>
          <w:rFonts w:ascii="Arial" w:eastAsia="等线" w:hAnsi="Arial" w:cs="Arial" w:hint="eastAsia"/>
        </w:rPr>
        <w:t>3.</w:t>
      </w:r>
      <w:r w:rsidR="00000000">
        <w:rPr>
          <w:rFonts w:ascii="Arial" w:eastAsia="等线" w:hAnsi="Arial" w:cs="Arial"/>
        </w:rPr>
        <w:t>数据管理技术支撑不足。未投入足够的资源用于数据管理技术研发和设施建设，数据管理系统、安全防护系统、网络系统、生成式人工智能应用系统等技术设施较为落后，无法满足数据全生命周期管理和合规监管的要求；未采用先进的数据安全技术和工具，数据安全防护能力、风险监测能力、应急处置能力薄弱，违反各项核心制度关于技术保障的相关要求。</w:t>
      </w:r>
    </w:p>
    <w:p w14:paraId="3C20A846" w14:textId="72D8F4B0" w:rsidR="00BA7D90" w:rsidRDefault="00A469AE" w:rsidP="00A469AE">
      <w:pPr>
        <w:spacing w:before="120" w:after="120" w:line="288" w:lineRule="auto"/>
        <w:ind w:firstLineChars="200" w:firstLine="440"/>
        <w:rPr>
          <w:rFonts w:hint="eastAsia"/>
        </w:rPr>
      </w:pPr>
      <w:r>
        <w:rPr>
          <w:rFonts w:ascii="Arial" w:eastAsia="等线" w:hAnsi="Arial" w:cs="Arial" w:hint="eastAsia"/>
        </w:rPr>
        <w:t>4.</w:t>
      </w:r>
      <w:r w:rsidR="00000000">
        <w:rPr>
          <w:rFonts w:ascii="Arial" w:eastAsia="等线" w:hAnsi="Arial" w:cs="Arial"/>
        </w:rPr>
        <w:t>数据管理审计监督不到位。未建立健全数据管理审计监督机制，审计部门未将数据管理工作作为审计重点，未定期开展数据管理专项审计；对审计发现的数据管理问题，未及时督促整改，未建立整改跟踪和复盘机制，问题整改不彻底、不到位，违反各项核心制度关于监督审计和问题整改的相关要求。</w:t>
      </w:r>
    </w:p>
    <w:p w14:paraId="4BE44977" w14:textId="77777777" w:rsidR="00BA7D90" w:rsidRDefault="00000000">
      <w:pPr>
        <w:spacing w:before="380" w:after="140" w:line="288" w:lineRule="auto"/>
        <w:outlineLvl w:val="0"/>
        <w:rPr>
          <w:rFonts w:hint="eastAsia"/>
        </w:rPr>
      </w:pPr>
      <w:bookmarkStart w:id="13" w:name="heading_13"/>
      <w:r>
        <w:rPr>
          <w:rFonts w:ascii="Arial" w:eastAsia="等线" w:hAnsi="Arial" w:cs="Arial"/>
          <w:b/>
          <w:sz w:val="36"/>
        </w:rPr>
        <w:t>四、审计评价</w:t>
      </w:r>
      <w:bookmarkEnd w:id="13"/>
    </w:p>
    <w:p w14:paraId="0FE33160" w14:textId="77777777" w:rsidR="00BA7D90" w:rsidRDefault="00000000" w:rsidP="00A469AE">
      <w:pPr>
        <w:spacing w:before="120" w:after="120" w:line="288" w:lineRule="auto"/>
        <w:ind w:firstLineChars="200" w:firstLine="440"/>
        <w:rPr>
          <w:rFonts w:hint="eastAsia"/>
        </w:rPr>
      </w:pPr>
      <w:r>
        <w:rPr>
          <w:rFonts w:ascii="Arial" w:eastAsia="等线" w:hAnsi="Arial" w:cs="Arial"/>
        </w:rPr>
        <w:t>本次审计结果显示，被审计机构已初步建立了数据管理相关制度和流程，在数据收集、存储、使用等基础环节开展了一定的管理工作，部分业务场景能够遵循人行</w:t>
      </w:r>
      <w:r>
        <w:rPr>
          <w:rFonts w:ascii="Arial" w:eastAsia="等线" w:hAnsi="Arial" w:cs="Arial"/>
        </w:rPr>
        <w:t>3</w:t>
      </w:r>
      <w:r>
        <w:rPr>
          <w:rFonts w:ascii="Arial" w:eastAsia="等线" w:hAnsi="Arial" w:cs="Arial"/>
        </w:rPr>
        <w:t>号令、数据安全法、个人信息保护法、网络安全法、生成式人工智能相关办法的核心要求，基本保障了日常金融业务数据的正常流转和使用。</w:t>
      </w:r>
    </w:p>
    <w:p w14:paraId="19E9ECDF" w14:textId="77777777" w:rsidR="00BA7D90" w:rsidRDefault="00000000" w:rsidP="00A469AE">
      <w:pPr>
        <w:spacing w:before="120" w:after="120" w:line="288" w:lineRule="auto"/>
        <w:ind w:firstLineChars="200" w:firstLine="440"/>
        <w:rPr>
          <w:rFonts w:hint="eastAsia"/>
        </w:rPr>
      </w:pPr>
      <w:r>
        <w:rPr>
          <w:rFonts w:ascii="Arial" w:eastAsia="等线" w:hAnsi="Arial" w:cs="Arial"/>
        </w:rPr>
        <w:t>但同时，审计也发现，被审计机构在数据管理工作中仍存在较多合规风险和管理漏洞，上述预设的审计问题在不同程度上存在，主要集中在数据分类分级管理、数据全生命周期管控、网络安全保障、个人信息保护、生成式人工智能应用数据合规、数据安全风险防控、责任体系建设等方面。这些问题的存在，违反了上述</w:t>
      </w:r>
      <w:r>
        <w:rPr>
          <w:rFonts w:ascii="Arial" w:eastAsia="等线" w:hAnsi="Arial" w:cs="Arial"/>
        </w:rPr>
        <w:t>5</w:t>
      </w:r>
      <w:r>
        <w:rPr>
          <w:rFonts w:ascii="Arial" w:eastAsia="等线" w:hAnsi="Arial" w:cs="Arial"/>
        </w:rPr>
        <w:t>项核心制度的相关规定，不仅可能导致被审计机构面临监管处罚，还可能造成数据泄露、篡改、滥用等风险，影响金融业务稳健运营，损害个人、组织合法权益及金融行业公共利益，反映出被审计机构的数据管理体系仍需进一步完善，数据合规意识和风险防控能</w:t>
      </w:r>
      <w:r>
        <w:rPr>
          <w:rFonts w:ascii="Arial" w:eastAsia="等线" w:hAnsi="Arial" w:cs="Arial"/>
        </w:rPr>
        <w:lastRenderedPageBreak/>
        <w:t>力仍需进一步提升。</w:t>
      </w:r>
    </w:p>
    <w:p w14:paraId="3E30D4F1" w14:textId="77777777" w:rsidR="00BA7D90" w:rsidRDefault="00000000" w:rsidP="00A469AE">
      <w:pPr>
        <w:spacing w:before="120" w:after="120" w:line="288" w:lineRule="auto"/>
        <w:ind w:firstLineChars="200" w:firstLine="440"/>
        <w:rPr>
          <w:rFonts w:hint="eastAsia"/>
        </w:rPr>
      </w:pPr>
      <w:r>
        <w:rPr>
          <w:rFonts w:ascii="Arial" w:eastAsia="等线" w:hAnsi="Arial" w:cs="Arial"/>
        </w:rPr>
        <w:t>总体来看，被审计机构数据管理工作处于</w:t>
      </w:r>
      <w:r>
        <w:rPr>
          <w:rFonts w:ascii="Arial" w:eastAsia="等线" w:hAnsi="Arial" w:cs="Arial"/>
        </w:rPr>
        <w:t>“</w:t>
      </w:r>
      <w:r>
        <w:rPr>
          <w:rFonts w:ascii="Arial" w:eastAsia="等线" w:hAnsi="Arial" w:cs="Arial"/>
        </w:rPr>
        <w:t>初步合规、存在较多风险</w:t>
      </w:r>
      <w:r>
        <w:rPr>
          <w:rFonts w:ascii="Arial" w:eastAsia="等线" w:hAnsi="Arial" w:cs="Arial"/>
        </w:rPr>
        <w:t>”</w:t>
      </w:r>
      <w:r>
        <w:rPr>
          <w:rFonts w:ascii="Arial" w:eastAsia="等线" w:hAnsi="Arial" w:cs="Arial"/>
        </w:rPr>
        <w:t>的状态，需高度重视本次审计发现的问题，切实落实整改责任，完善数据管理体系，提升数据管理合规水平和风险防控能力，确保数据管理工作全面符合各项监管制度要求。</w:t>
      </w:r>
    </w:p>
    <w:p w14:paraId="726608A6" w14:textId="77777777" w:rsidR="00BA7D90" w:rsidRDefault="00000000">
      <w:pPr>
        <w:spacing w:before="380" w:after="140" w:line="288" w:lineRule="auto"/>
        <w:outlineLvl w:val="0"/>
        <w:rPr>
          <w:rFonts w:hint="eastAsia"/>
        </w:rPr>
      </w:pPr>
      <w:bookmarkStart w:id="14" w:name="heading_14"/>
      <w:r>
        <w:rPr>
          <w:rFonts w:ascii="Arial" w:eastAsia="等线" w:hAnsi="Arial" w:cs="Arial"/>
          <w:b/>
          <w:sz w:val="36"/>
        </w:rPr>
        <w:t>五、整改建议</w:t>
      </w:r>
      <w:bookmarkEnd w:id="14"/>
    </w:p>
    <w:p w14:paraId="4F66C61C" w14:textId="77777777" w:rsidR="00BA7D90" w:rsidRDefault="00000000">
      <w:pPr>
        <w:spacing w:before="120" w:after="120" w:line="288" w:lineRule="auto"/>
        <w:rPr>
          <w:rFonts w:hint="eastAsia"/>
        </w:rPr>
      </w:pPr>
      <w:r>
        <w:rPr>
          <w:rFonts w:ascii="Arial" w:eastAsia="等线" w:hAnsi="Arial" w:cs="Arial"/>
        </w:rPr>
        <w:t>针对本次审计发现的问题，结合人行</w:t>
      </w:r>
      <w:r>
        <w:rPr>
          <w:rFonts w:ascii="Arial" w:eastAsia="等线" w:hAnsi="Arial" w:cs="Arial"/>
        </w:rPr>
        <w:t>3</w:t>
      </w:r>
      <w:r>
        <w:rPr>
          <w:rFonts w:ascii="Arial" w:eastAsia="等线" w:hAnsi="Arial" w:cs="Arial"/>
        </w:rPr>
        <w:t>号令、数据安全法、个人信息保护法、网络安全法、生成式人工智能相关办法及金融行业监管要求，为帮助被审计机构完善数据管理体系，提升数据管理合规水平和风险防控能力，提出以下整改建议：</w:t>
      </w:r>
    </w:p>
    <w:p w14:paraId="34CAF91D" w14:textId="3307E2D4" w:rsidR="00BA7D90" w:rsidRDefault="00000000" w:rsidP="00A469AE">
      <w:pPr>
        <w:pStyle w:val="a7"/>
        <w:numPr>
          <w:ilvl w:val="0"/>
          <w:numId w:val="71"/>
        </w:numPr>
        <w:spacing w:before="320" w:after="120" w:line="288" w:lineRule="auto"/>
        <w:ind w:firstLineChars="0"/>
        <w:outlineLvl w:val="1"/>
        <w:rPr>
          <w:rFonts w:hint="eastAsia"/>
        </w:rPr>
      </w:pPr>
      <w:bookmarkStart w:id="15" w:name="heading_15"/>
      <w:r w:rsidRPr="00A469AE">
        <w:rPr>
          <w:rFonts w:ascii="Arial" w:eastAsia="等线" w:hAnsi="Arial" w:cs="Arial"/>
          <w:b/>
          <w:sz w:val="32"/>
        </w:rPr>
        <w:t>完善数据管理体系，落实管理责任</w:t>
      </w:r>
      <w:bookmarkEnd w:id="15"/>
    </w:p>
    <w:p w14:paraId="69C39850" w14:textId="725BCAAF" w:rsidR="00BA7D90" w:rsidRDefault="00A469AE" w:rsidP="00A469AE">
      <w:pPr>
        <w:spacing w:before="120" w:after="120" w:line="288" w:lineRule="auto"/>
        <w:ind w:firstLineChars="200" w:firstLine="440"/>
        <w:rPr>
          <w:rFonts w:hint="eastAsia"/>
        </w:rPr>
      </w:pPr>
      <w:r>
        <w:rPr>
          <w:rFonts w:ascii="Arial" w:eastAsia="等线" w:hAnsi="Arial" w:cs="Arial" w:hint="eastAsia"/>
        </w:rPr>
        <w:t>一是</w:t>
      </w:r>
      <w:r w:rsidR="00000000">
        <w:rPr>
          <w:rFonts w:ascii="Arial" w:eastAsia="等线" w:hAnsi="Arial" w:cs="Arial"/>
        </w:rPr>
        <w:t>健全数据管理制度体系，结合机构实际情况和</w:t>
      </w:r>
      <w:r w:rsidR="00000000">
        <w:rPr>
          <w:rFonts w:ascii="Arial" w:eastAsia="等线" w:hAnsi="Arial" w:cs="Arial"/>
        </w:rPr>
        <w:t>5</w:t>
      </w:r>
      <w:r w:rsidR="00000000">
        <w:rPr>
          <w:rFonts w:ascii="Arial" w:eastAsia="等线" w:hAnsi="Arial" w:cs="Arial"/>
        </w:rPr>
        <w:t>项核心制度要求，修订完善数据分类分级管理、数据全生命周期管理、数据安全风险防控、数据共享与外部合作管理、个人信息保护、网络安全、生成式人工智能应用数据合规等相关管理制度和操作规程，明确各项工作的流程、标准和责任，确保制度覆盖全部数据管理环节，且符合最新监管要求；定期对制度进行修订和完善，建立制度执行监督机制，确保制度有效落地执行。</w:t>
      </w:r>
    </w:p>
    <w:p w14:paraId="0FB7198B" w14:textId="6641AF73"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严格落实</w:t>
      </w:r>
      <w:r w:rsidR="00000000">
        <w:rPr>
          <w:rFonts w:ascii="Arial" w:eastAsia="等线" w:hAnsi="Arial" w:cs="Arial"/>
        </w:rPr>
        <w:t>“</w:t>
      </w:r>
      <w:r w:rsidR="00000000">
        <w:rPr>
          <w:rFonts w:ascii="Arial" w:eastAsia="等线" w:hAnsi="Arial" w:cs="Arial"/>
        </w:rPr>
        <w:t>谁管业务，谁管业务数据，谁管数据安全</w:t>
      </w:r>
      <w:r w:rsidR="00000000">
        <w:rPr>
          <w:rFonts w:ascii="Arial" w:eastAsia="等线" w:hAnsi="Arial" w:cs="Arial"/>
        </w:rPr>
        <w:t>”</w:t>
      </w:r>
      <w:r w:rsidR="00000000">
        <w:rPr>
          <w:rFonts w:ascii="Arial" w:eastAsia="等线" w:hAnsi="Arial" w:cs="Arial"/>
        </w:rPr>
        <w:t>的原则，明确各业务领域、各部门、各岗位的数据管理职责，建立健全数据管理责任体系，明确主要负责人为数据安全第一责任人、分管负责人为直接责任人，制定违规情形和责任追究事项清单，落实问责处置机制；强化数据管理牵头部门的统筹协调职能，明确其在数据安全规划、制度制定、风险防控、统筹协调等方面的职责，确保全机构数据管理工作有序推进。</w:t>
      </w:r>
    </w:p>
    <w:p w14:paraId="7E5BB339" w14:textId="08ED5F87"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建立健全数据管理审计监督机制，将数据管理工作纳入审计重点，定期开展数据管理专项审计和合规评估，扩大审计范围，细化审计内容，及时发现和整改数据管理工作中存在的问题；建立审计问题整改跟踪机制，对整改情况进行全程监督，确保问题整改彻底、到位，整改完成后及时开展复盘分析，避免同类问题再次发生。</w:t>
      </w:r>
    </w:p>
    <w:p w14:paraId="1EF787B9" w14:textId="09A5FD78" w:rsidR="00BA7D90" w:rsidRDefault="00000000" w:rsidP="00A469AE">
      <w:pPr>
        <w:pStyle w:val="a7"/>
        <w:numPr>
          <w:ilvl w:val="0"/>
          <w:numId w:val="71"/>
        </w:numPr>
        <w:spacing w:before="320" w:after="120" w:line="288" w:lineRule="auto"/>
        <w:ind w:firstLineChars="0"/>
        <w:outlineLvl w:val="1"/>
        <w:rPr>
          <w:rFonts w:hint="eastAsia"/>
        </w:rPr>
      </w:pPr>
      <w:bookmarkStart w:id="16" w:name="heading_16"/>
      <w:r w:rsidRPr="00A469AE">
        <w:rPr>
          <w:rFonts w:ascii="Arial" w:eastAsia="等线" w:hAnsi="Arial" w:cs="Arial"/>
          <w:b/>
          <w:sz w:val="32"/>
        </w:rPr>
        <w:t>强化数据全生命周期管控，规范数据处理行为</w:t>
      </w:r>
      <w:bookmarkEnd w:id="16"/>
    </w:p>
    <w:p w14:paraId="6483ED2C" w14:textId="77777777" w:rsidR="00A469AE" w:rsidRDefault="00A469AE" w:rsidP="00A469AE">
      <w:pPr>
        <w:spacing w:before="120" w:after="120" w:line="288" w:lineRule="auto"/>
        <w:ind w:firstLineChars="200" w:firstLine="440"/>
        <w:rPr>
          <w:rFonts w:ascii="Arial" w:eastAsia="等线" w:hAnsi="Arial" w:cs="Arial"/>
        </w:rPr>
      </w:pPr>
      <w:r>
        <w:rPr>
          <w:rFonts w:ascii="Arial" w:eastAsia="等线" w:hAnsi="Arial" w:cs="Arial" w:hint="eastAsia"/>
        </w:rPr>
        <w:t>一是</w:t>
      </w:r>
      <w:r w:rsidR="00000000">
        <w:rPr>
          <w:rFonts w:ascii="Arial" w:eastAsia="等线" w:hAnsi="Arial" w:cs="Arial"/>
        </w:rPr>
        <w:t>规范数据分类分级管理，严格按照人行</w:t>
      </w:r>
      <w:r w:rsidR="00000000">
        <w:rPr>
          <w:rFonts w:ascii="Arial" w:eastAsia="等线" w:hAnsi="Arial" w:cs="Arial"/>
        </w:rPr>
        <w:t>3</w:t>
      </w:r>
      <w:r w:rsidR="00000000">
        <w:rPr>
          <w:rFonts w:ascii="Arial" w:eastAsia="等线" w:hAnsi="Arial" w:cs="Arial"/>
        </w:rPr>
        <w:t>号令及行业标准，编制完整的业务数据资源目录，从业务关联性、敏感性和可用性方面对所有数据进行全面分类，对结构化数据项逐一标识敏感性，对非结构化数据项按最高敏感性标识原则落实；准确区分一般数据、重要数据、核心数据，分级结果履行内部审批程序，建立数据分级动态调整机制，根据数据业务属性、重要程度变化及时调整分级及防护措施。</w:t>
      </w:r>
    </w:p>
    <w:p w14:paraId="4160C08E" w14:textId="342E9577" w:rsidR="00BA7D90" w:rsidRDefault="00A469AE" w:rsidP="00A469AE">
      <w:pPr>
        <w:spacing w:before="120" w:after="120" w:line="288" w:lineRule="auto"/>
        <w:ind w:firstLineChars="200" w:firstLine="440"/>
        <w:rPr>
          <w:rFonts w:hint="eastAsia"/>
        </w:rPr>
      </w:pPr>
      <w:r>
        <w:rPr>
          <w:rFonts w:hint="eastAsia"/>
        </w:rPr>
        <w:t>二是</w:t>
      </w:r>
      <w:r w:rsidR="00000000">
        <w:rPr>
          <w:rFonts w:ascii="Arial" w:eastAsia="等线" w:hAnsi="Arial" w:cs="Arial"/>
        </w:rPr>
        <w:t>加强数据全生命周期管控，严格规范数据收集、存储、使用、加工、传输、</w:t>
      </w:r>
      <w:r w:rsidR="00000000">
        <w:rPr>
          <w:rFonts w:ascii="Arial" w:eastAsia="等线" w:hAnsi="Arial" w:cs="Arial"/>
        </w:rPr>
        <w:lastRenderedPageBreak/>
        <w:t>删除、共享等各环节的操作流程：一是数据收集环节，遵循合法、正当、必要、诚信的原则，明确收集范围和标准，留存数据收集授权记录，杜绝超出业务必要范围收集数据；二是数据存储环节，落实数据加密存储要求，核心数据、重要数据采用高强度加密方式，制定完善的数据备份策略，定期开展备份恢复测试，及时清理过期数据；三是数据使用、加工环节，建立严格的审批流程，留存操作日志，对加工后的数据及时开展敏感性评估，采取去标识化、匿名化等安全措施；四是数据传输环节，采用安全可靠的传输方式，对传输的数据进行加密处理，严格落实跨部门、跨系统数据传输安全管控措施；五是数据删除环节，建立审批制度和操作规程，留存删除记录，按规定删除或归档终止业务对应的业务数据；六是数据共享环节，建立健全共享管理制度，内部共享履行审批流程，外部共享严格评估合作方安全能力，签订完善的合作协议，明确双方责任义务。</w:t>
      </w:r>
    </w:p>
    <w:p w14:paraId="37C7EB77" w14:textId="20BAD553"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加强重要数据与核心数据安全保护，明确重要数据、核心数据目录并实施动态管理，采取特殊的安全保护措施，严格规范重要数据、核心数据的出境管理，按规定开展安全评估和审批，定期对重要数据、核心数据的安全保护情况进行检查和评估。</w:t>
      </w:r>
    </w:p>
    <w:p w14:paraId="0BA112F1" w14:textId="77777777" w:rsidR="00BA7D90" w:rsidRDefault="00000000">
      <w:pPr>
        <w:spacing w:before="320" w:after="120" w:line="288" w:lineRule="auto"/>
        <w:outlineLvl w:val="1"/>
        <w:rPr>
          <w:rFonts w:hint="eastAsia"/>
        </w:rPr>
      </w:pPr>
      <w:bookmarkStart w:id="17" w:name="heading_17"/>
      <w:r>
        <w:rPr>
          <w:rFonts w:ascii="Arial" w:eastAsia="等线" w:hAnsi="Arial" w:cs="Arial"/>
          <w:b/>
          <w:sz w:val="32"/>
        </w:rPr>
        <w:t>（三）加强个人信息保护，保障数据主体权益</w:t>
      </w:r>
      <w:bookmarkEnd w:id="17"/>
    </w:p>
    <w:p w14:paraId="3D6071CE" w14:textId="1FB5663A" w:rsidR="00BA7D90" w:rsidRDefault="00A469AE" w:rsidP="00A469AE">
      <w:pPr>
        <w:spacing w:before="120" w:after="120" w:line="288" w:lineRule="auto"/>
        <w:ind w:firstLineChars="200" w:firstLine="440"/>
        <w:rPr>
          <w:rFonts w:hint="eastAsia"/>
        </w:rPr>
      </w:pPr>
      <w:r>
        <w:rPr>
          <w:rFonts w:ascii="Arial" w:eastAsia="等线" w:hAnsi="Arial" w:cs="Arial" w:hint="eastAsia"/>
        </w:rPr>
        <w:t>一是</w:t>
      </w:r>
      <w:r w:rsidR="00000000">
        <w:rPr>
          <w:rFonts w:ascii="Arial" w:eastAsia="等线" w:hAnsi="Arial" w:cs="Arial"/>
        </w:rPr>
        <w:t>规范个人信息收集行为，明确告知被收集者个人信息的收集目的、范围、使用方式和保存期限，获得被收集者的明示同意，杜绝默认勾选、捆绑授权等违规行为；严格遵循最小必要原则，不收集与业务无关的个人信息；收集敏感个人金融信息时，单独获得被收集者的明示同意，进行专项说明，留存同意凭证。</w:t>
      </w:r>
    </w:p>
    <w:p w14:paraId="37FAC5E7" w14:textId="4D95E3C3"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加强个人信息存储与使用管理，对个人信息进行加密存储，敏感个人金融信息采取特殊加密保护措施，严格控制存储期限；未经被收集者同意，不得将个人信息用于与业务无关的目的；建立个人信息访问控制机制，落实最小权限原则，留存访问日志且留存期限不低于</w:t>
      </w:r>
      <w:r w:rsidR="00000000">
        <w:rPr>
          <w:rFonts w:ascii="Arial" w:eastAsia="等线" w:hAnsi="Arial" w:cs="Arial"/>
        </w:rPr>
        <w:t>6</w:t>
      </w:r>
      <w:r w:rsidR="00000000">
        <w:rPr>
          <w:rFonts w:ascii="Arial" w:eastAsia="等线" w:hAnsi="Arial" w:cs="Arial"/>
        </w:rPr>
        <w:t>个月；对个人信息进行加工、分析时，采取去标识化、匿名化等安全措施，防范个人信息泄露或被滥用。</w:t>
      </w:r>
    </w:p>
    <w:p w14:paraId="2A86EF22" w14:textId="19651B55"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规范个人信息共享、转让与跨境提供行为，与第三方共享、转让个人信息时，获得被收集者的明示同意，评估第三方保护能力，签订相关协议；向境外提供个人信息时，按规定开展安全评估和审批，采取有效的安全防护措施。</w:t>
      </w:r>
    </w:p>
    <w:p w14:paraId="1590B861" w14:textId="40730971" w:rsidR="00BA7D90" w:rsidRDefault="00A469AE" w:rsidP="00A469AE">
      <w:pPr>
        <w:spacing w:before="120" w:after="120" w:line="288" w:lineRule="auto"/>
        <w:ind w:firstLineChars="200" w:firstLine="440"/>
        <w:rPr>
          <w:rFonts w:hint="eastAsia"/>
        </w:rPr>
      </w:pPr>
      <w:r>
        <w:rPr>
          <w:rFonts w:ascii="Arial" w:eastAsia="等线" w:hAnsi="Arial" w:cs="Arial" w:hint="eastAsia"/>
        </w:rPr>
        <w:t>四是</w:t>
      </w:r>
      <w:r w:rsidR="00000000">
        <w:rPr>
          <w:rFonts w:ascii="Arial" w:eastAsia="等线" w:hAnsi="Arial" w:cs="Arial"/>
        </w:rPr>
        <w:t>健全个人信息主体权益保障机制，建立个人信息查询、更正、删除、撤回同意的渠道和流程，及时响应个人信息主体的合理请求；告知个人信息主体其享有的权利及行使方式，建立投诉举报机制，及时、规范处理投诉举报；定期开展个人信息保护影响评估，覆盖敏感个人信息处理场景，将评估结果用于优化保护措施；金融领域按要求每年开展一次个人信息保护合规审计。</w:t>
      </w:r>
    </w:p>
    <w:p w14:paraId="6BFE3096" w14:textId="77777777" w:rsidR="00BA7D90" w:rsidRDefault="00000000">
      <w:pPr>
        <w:spacing w:before="320" w:after="120" w:line="288" w:lineRule="auto"/>
        <w:outlineLvl w:val="1"/>
        <w:rPr>
          <w:rFonts w:hint="eastAsia"/>
        </w:rPr>
      </w:pPr>
      <w:bookmarkStart w:id="18" w:name="heading_18"/>
      <w:r>
        <w:rPr>
          <w:rFonts w:ascii="Arial" w:eastAsia="等线" w:hAnsi="Arial" w:cs="Arial"/>
          <w:b/>
          <w:sz w:val="32"/>
        </w:rPr>
        <w:t>（四）强化网络安全保障，提升网络运行安全水平</w:t>
      </w:r>
      <w:bookmarkEnd w:id="18"/>
    </w:p>
    <w:p w14:paraId="119AD20C" w14:textId="6C067B24" w:rsidR="00BA7D90" w:rsidRDefault="00A469AE" w:rsidP="00A469AE">
      <w:pPr>
        <w:spacing w:before="120" w:after="120" w:line="288" w:lineRule="auto"/>
        <w:ind w:firstLineChars="200" w:firstLine="440"/>
        <w:rPr>
          <w:rFonts w:hint="eastAsia"/>
        </w:rPr>
      </w:pPr>
      <w:r>
        <w:rPr>
          <w:rFonts w:ascii="Arial" w:eastAsia="等线" w:hAnsi="Arial" w:cs="Arial" w:hint="eastAsia"/>
        </w:rPr>
        <w:lastRenderedPageBreak/>
        <w:t>一是</w:t>
      </w:r>
      <w:r w:rsidR="00000000">
        <w:rPr>
          <w:rFonts w:ascii="Arial" w:eastAsia="等线" w:hAnsi="Arial" w:cs="Arial"/>
        </w:rPr>
        <w:t>完善网络安全管理制度和防护体系，落实网络安全等级保护制度，对核心网络和信息系统开展等级保护测评，配备必要的网络安全防护设备和软件，及时更新升级防护设备，防范网络攻击、病毒感染等风险；规范网络设备和软件配置，定期开展安全漏洞扫描和修复，建立网络漏洞管理台账。</w:t>
      </w:r>
    </w:p>
    <w:p w14:paraId="7B78CB08" w14:textId="5D9113A7"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加强网络运行安全保障，建立核心网络和信息系统冗余备份机制，定期开展网络运行状态监测，及时发现和处置网络故障、网络攻击等问题；建立网络访问控制机制，严格控制网络访问权限，规范网络接入和配置变更审批流程；留存网络日志且留存期限不低于</w:t>
      </w:r>
      <w:r w:rsidR="00000000">
        <w:rPr>
          <w:rFonts w:ascii="Arial" w:eastAsia="等线" w:hAnsi="Arial" w:cs="Arial"/>
        </w:rPr>
        <w:t>6</w:t>
      </w:r>
      <w:r w:rsidR="00000000">
        <w:rPr>
          <w:rFonts w:ascii="Arial" w:eastAsia="等线" w:hAnsi="Arial" w:cs="Arial"/>
        </w:rPr>
        <w:t>个月，为网络安全事件追溯提供支撑。</w:t>
      </w:r>
    </w:p>
    <w:p w14:paraId="6411E658" w14:textId="334AAD62"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健全网络安全监测预警与应急处置机制，配备必要的监测预警工具，及时发现网络安全风险隐患；制定完善的网络安全应急处置预案，明确应急处置流程，加强应急处置队伍和物资保障，定期开展应急演练；发生网络安全事件后，按规定及时向监管部门报告，采取有效的处置措施控制风险扩散，事后开展复盘分析，优化应急处置预案。</w:t>
      </w:r>
    </w:p>
    <w:p w14:paraId="1DBEA24D" w14:textId="77777777" w:rsidR="00BA7D90" w:rsidRDefault="00000000">
      <w:pPr>
        <w:spacing w:before="320" w:after="120" w:line="288" w:lineRule="auto"/>
        <w:outlineLvl w:val="1"/>
        <w:rPr>
          <w:rFonts w:hint="eastAsia"/>
        </w:rPr>
      </w:pPr>
      <w:bookmarkStart w:id="19" w:name="heading_19"/>
      <w:r>
        <w:rPr>
          <w:rFonts w:ascii="Arial" w:eastAsia="等线" w:hAnsi="Arial" w:cs="Arial"/>
          <w:b/>
          <w:sz w:val="32"/>
        </w:rPr>
        <w:t>（五）规范生成式人工智能应用，强化</w:t>
      </w:r>
      <w:r>
        <w:rPr>
          <w:rFonts w:ascii="Arial" w:eastAsia="等线" w:hAnsi="Arial" w:cs="Arial"/>
          <w:b/>
          <w:sz w:val="32"/>
        </w:rPr>
        <w:t>AI</w:t>
      </w:r>
      <w:r>
        <w:rPr>
          <w:rFonts w:ascii="Arial" w:eastAsia="等线" w:hAnsi="Arial" w:cs="Arial"/>
          <w:b/>
          <w:sz w:val="32"/>
        </w:rPr>
        <w:t>数据合规管理</w:t>
      </w:r>
      <w:bookmarkEnd w:id="19"/>
    </w:p>
    <w:p w14:paraId="35651FC4" w14:textId="6060B16B" w:rsidR="00BA7D90" w:rsidRDefault="00A469AE" w:rsidP="00A469AE">
      <w:pPr>
        <w:spacing w:before="120" w:after="120" w:line="288" w:lineRule="auto"/>
        <w:ind w:firstLineChars="200" w:firstLine="440"/>
        <w:rPr>
          <w:rFonts w:hint="eastAsia"/>
        </w:rPr>
      </w:pPr>
      <w:r>
        <w:rPr>
          <w:rFonts w:ascii="Arial" w:eastAsia="等线" w:hAnsi="Arial" w:cs="Arial" w:hint="eastAsia"/>
        </w:rPr>
        <w:t>一是</w:t>
      </w:r>
      <w:r w:rsidR="00000000">
        <w:rPr>
          <w:rFonts w:ascii="Arial" w:eastAsia="等线" w:hAnsi="Arial" w:cs="Arial"/>
        </w:rPr>
        <w:t>落实生成式人工智能主体资质与备案要求，持有对应金融牌照后方可开展涉金融决策类生成式</w:t>
      </w:r>
      <w:r w:rsidR="00000000">
        <w:rPr>
          <w:rFonts w:ascii="Arial" w:eastAsia="等线" w:hAnsi="Arial" w:cs="Arial"/>
        </w:rPr>
        <w:t>AI</w:t>
      </w:r>
      <w:r w:rsidR="00000000">
        <w:rPr>
          <w:rFonts w:ascii="Arial" w:eastAsia="等线" w:hAnsi="Arial" w:cs="Arial"/>
        </w:rPr>
        <w:t>服务，按规定完成模型备案和算法备案，接受银保监</w:t>
      </w:r>
      <w:r w:rsidR="00000000">
        <w:rPr>
          <w:rFonts w:ascii="Arial" w:eastAsia="等线" w:hAnsi="Arial" w:cs="Arial"/>
        </w:rPr>
        <w:t>/</w:t>
      </w:r>
      <w:r w:rsidR="00000000">
        <w:rPr>
          <w:rFonts w:ascii="Arial" w:eastAsia="等线" w:hAnsi="Arial" w:cs="Arial"/>
        </w:rPr>
        <w:t>证监会与网信部门的双重审核；按要求每月更新风控词库、季度提交合规自查报告，模型变更及时向双部门报备。</w:t>
      </w:r>
    </w:p>
    <w:p w14:paraId="03807A19" w14:textId="46053723"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规范训练数据管理，遵循合法、正当、必要的原则，杜绝使用非法获取的金融数据、个人信息作为训练数据；对训练数据进行清洗、校验，保障数据质量；对包含敏感个人信息、核心金融数据的训练数据，采取去标识化、匿名化等安全保护措施；建立训练数据管理制度，留存训练数据收集、处理、使用的相关记录，确保训练数据来源可追溯。</w:t>
      </w:r>
    </w:p>
    <w:p w14:paraId="72D8C707" w14:textId="5084C2A8"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规范生成式人工智能应用行为，建立输出结果审核机制，对生成结果进行审核和校验，杜绝虚假、误导性信息和违法违规内容输出；严格在备案范围内开展应用，不得擅自扩大应用领域；在生成内容上按要求进行标识，落实生成式人工智能服务标识要求。</w:t>
      </w:r>
    </w:p>
    <w:p w14:paraId="01584F5C" w14:textId="347BBDFE" w:rsidR="00BA7D90" w:rsidRDefault="00A469AE" w:rsidP="00A469AE">
      <w:pPr>
        <w:spacing w:before="120" w:after="120" w:line="288" w:lineRule="auto"/>
        <w:ind w:firstLineChars="200" w:firstLine="440"/>
        <w:rPr>
          <w:rFonts w:hint="eastAsia"/>
        </w:rPr>
      </w:pPr>
      <w:r>
        <w:rPr>
          <w:rFonts w:ascii="Arial" w:eastAsia="等线" w:hAnsi="Arial" w:cs="Arial" w:hint="eastAsia"/>
        </w:rPr>
        <w:t>四是</w:t>
      </w:r>
      <w:r w:rsidR="00000000">
        <w:rPr>
          <w:rFonts w:ascii="Arial" w:eastAsia="等线" w:hAnsi="Arial" w:cs="Arial"/>
        </w:rPr>
        <w:t>加强算法安全与风险防控，建立算法安全管理制度，对算法设计、开发、部署、使用等环节进行安全管控；定期开展算法安全评估和漏洞扫描，防范算法被篡改、滥用；建立算法透明化机制，确保算法决策过程可追溯、可审计；配备金融监管专家、风控专员参与算法设计和审核，确保核心岗位人员具备相应金融从业资格，建立专项风控团队。</w:t>
      </w:r>
    </w:p>
    <w:p w14:paraId="33E91A9E" w14:textId="7D511A76" w:rsidR="00BA7D90" w:rsidRDefault="00A469AE" w:rsidP="00A469AE">
      <w:pPr>
        <w:spacing w:before="120" w:after="120" w:line="288" w:lineRule="auto"/>
        <w:ind w:firstLineChars="200" w:firstLine="440"/>
        <w:rPr>
          <w:rFonts w:hint="eastAsia"/>
        </w:rPr>
      </w:pPr>
      <w:r>
        <w:rPr>
          <w:rFonts w:ascii="Arial" w:eastAsia="等线" w:hAnsi="Arial" w:cs="Arial" w:hint="eastAsia"/>
        </w:rPr>
        <w:t>五是</w:t>
      </w:r>
      <w:r w:rsidR="00000000">
        <w:rPr>
          <w:rFonts w:ascii="Arial" w:eastAsia="等线" w:hAnsi="Arial" w:cs="Arial"/>
        </w:rPr>
        <w:t>强化生成式人工智能数据安全保护，落实网络安全等级保护要求，采取有效的数据安全防护措施；建立数据备份机制，定期开展备份恢复测试；对数据访问行为进行记录和审计，落实最小权限原则；发生相关数据安全事件后，及时处置并按规定</w:t>
      </w:r>
      <w:r w:rsidR="00000000">
        <w:rPr>
          <w:rFonts w:ascii="Arial" w:eastAsia="等线" w:hAnsi="Arial" w:cs="Arial"/>
        </w:rPr>
        <w:lastRenderedPageBreak/>
        <w:t>报告。</w:t>
      </w:r>
    </w:p>
    <w:p w14:paraId="10AF00F6" w14:textId="12F7BB4D" w:rsidR="00BA7D90" w:rsidRDefault="00A469AE" w:rsidP="00A469AE">
      <w:pPr>
        <w:spacing w:before="120" w:after="120" w:line="288" w:lineRule="auto"/>
        <w:ind w:firstLineChars="200" w:firstLine="440"/>
        <w:rPr>
          <w:rFonts w:hint="eastAsia"/>
        </w:rPr>
      </w:pPr>
      <w:r>
        <w:rPr>
          <w:rFonts w:ascii="Arial" w:eastAsia="等线" w:hAnsi="Arial" w:cs="Arial" w:hint="eastAsia"/>
        </w:rPr>
        <w:t>六是</w:t>
      </w:r>
      <w:r w:rsidR="00000000">
        <w:rPr>
          <w:rFonts w:ascii="Arial" w:eastAsia="等线" w:hAnsi="Arial" w:cs="Arial"/>
        </w:rPr>
        <w:t>落实人工监督与伦理管控要求，在生成式人工智能生命周期中设置人工监督环节，关键业务场景建立人工复核机制；建立</w:t>
      </w:r>
      <w:r w:rsidR="00000000">
        <w:rPr>
          <w:rFonts w:ascii="Arial" w:eastAsia="等线" w:hAnsi="Arial" w:cs="Arial"/>
        </w:rPr>
        <w:t>AI</w:t>
      </w:r>
      <w:r w:rsidR="00000000">
        <w:rPr>
          <w:rFonts w:ascii="Arial" w:eastAsia="等线" w:hAnsi="Arial" w:cs="Arial"/>
        </w:rPr>
        <w:t>伦理评估机制，有效应对规则冲突、社会风险和伦理道德风险；定期评估</w:t>
      </w:r>
      <w:r w:rsidR="00000000">
        <w:rPr>
          <w:rFonts w:ascii="Arial" w:eastAsia="等线" w:hAnsi="Arial" w:cs="Arial"/>
        </w:rPr>
        <w:t>AI</w:t>
      </w:r>
      <w:r w:rsidR="00000000">
        <w:rPr>
          <w:rFonts w:ascii="Arial" w:eastAsia="等线" w:hAnsi="Arial" w:cs="Arial"/>
        </w:rPr>
        <w:t>应用效果，及时发现和整改数据安全与合规风险。</w:t>
      </w:r>
    </w:p>
    <w:p w14:paraId="24C48904" w14:textId="2418C5EA" w:rsidR="00BA7D90" w:rsidRDefault="00000000" w:rsidP="00A469AE">
      <w:pPr>
        <w:pStyle w:val="a7"/>
        <w:numPr>
          <w:ilvl w:val="0"/>
          <w:numId w:val="72"/>
        </w:numPr>
        <w:spacing w:before="320" w:after="120" w:line="288" w:lineRule="auto"/>
        <w:ind w:firstLineChars="0"/>
        <w:outlineLvl w:val="1"/>
        <w:rPr>
          <w:rFonts w:hint="eastAsia"/>
        </w:rPr>
      </w:pPr>
      <w:bookmarkStart w:id="20" w:name="heading_20"/>
      <w:r w:rsidRPr="00A469AE">
        <w:rPr>
          <w:rFonts w:ascii="Arial" w:eastAsia="等线" w:hAnsi="Arial" w:cs="Arial"/>
          <w:b/>
          <w:sz w:val="32"/>
        </w:rPr>
        <w:t>加强数据安全风险防控，提升应急处置能力</w:t>
      </w:r>
      <w:bookmarkEnd w:id="20"/>
    </w:p>
    <w:p w14:paraId="5AAD4C72" w14:textId="77777777" w:rsidR="00A469AE" w:rsidRDefault="00A469AE" w:rsidP="00A469AE">
      <w:pPr>
        <w:spacing w:before="120" w:after="120" w:line="288" w:lineRule="auto"/>
        <w:ind w:firstLineChars="200" w:firstLine="440"/>
        <w:rPr>
          <w:rFonts w:ascii="Arial" w:eastAsia="等线" w:hAnsi="Arial" w:cs="Arial"/>
        </w:rPr>
      </w:pPr>
      <w:r>
        <w:rPr>
          <w:rFonts w:ascii="Arial" w:eastAsia="等线" w:hAnsi="Arial" w:cs="Arial" w:hint="eastAsia"/>
        </w:rPr>
        <w:t>一是</w:t>
      </w:r>
      <w:r w:rsidR="00000000">
        <w:rPr>
          <w:rFonts w:ascii="Arial" w:eastAsia="等线" w:hAnsi="Arial" w:cs="Arial"/>
        </w:rPr>
        <w:t>建立健全数据安全风险监测机制，配备必要的风险监测工具，实现对数据篡改、破坏、泄露等风险隐患的实时监测，及时发现和预警风险；定期开展数据安全风险评估，扩大评估范围，覆盖全部业务领域和数据类型，将评估结果用于优化数据安全防护措施。</w:t>
      </w:r>
    </w:p>
    <w:p w14:paraId="188384E5" w14:textId="4517F0AB"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完善数据安全事件分级机制和应急处置预案，明确应急处置流程、责任分工、处置措施，加强应急处置队伍建设和物资保障，定期开展应急演练，提升应急处置能力；发生数据安全事件后，按规定及时向中国人民银行及其分支机构等监管部门报告，采取有效的处置措施控制风险扩散，事后开展复盘分析，总结经验教训，优化应急处置预案和安全防护措施。</w:t>
      </w:r>
    </w:p>
    <w:p w14:paraId="088E12A2" w14:textId="04C5CA85"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加强数据安全技术防护，投入足够的资源用于数据安全技术研发和设施建设，采用先进的数据加密、访问控制、入侵检测、风险监测等安全技术和工具，提升数据安全防护能力；定期对数据安全技术设施进行更新升级，确保其能够有效防范各类数据安全风险。</w:t>
      </w:r>
    </w:p>
    <w:p w14:paraId="4D6D8CFB" w14:textId="77777777" w:rsidR="00BA7D90" w:rsidRDefault="00000000">
      <w:pPr>
        <w:spacing w:before="320" w:after="120" w:line="288" w:lineRule="auto"/>
        <w:outlineLvl w:val="1"/>
        <w:rPr>
          <w:rFonts w:hint="eastAsia"/>
        </w:rPr>
      </w:pPr>
      <w:bookmarkStart w:id="21" w:name="heading_21"/>
      <w:r>
        <w:rPr>
          <w:rFonts w:ascii="Arial" w:eastAsia="等线" w:hAnsi="Arial" w:cs="Arial"/>
          <w:b/>
          <w:sz w:val="32"/>
        </w:rPr>
        <w:t>（七）提升专业能力，强化意识教育</w:t>
      </w:r>
      <w:bookmarkEnd w:id="21"/>
    </w:p>
    <w:p w14:paraId="7EC65D3F" w14:textId="359DF2B7" w:rsidR="00BA7D90" w:rsidRDefault="00A469AE" w:rsidP="00A469AE">
      <w:pPr>
        <w:spacing w:before="120" w:after="120" w:line="288" w:lineRule="auto"/>
        <w:ind w:firstLineChars="200" w:firstLine="440"/>
        <w:rPr>
          <w:rFonts w:hint="eastAsia"/>
        </w:rPr>
      </w:pPr>
      <w:r>
        <w:rPr>
          <w:rFonts w:ascii="Arial" w:eastAsia="等线" w:hAnsi="Arial" w:cs="Arial" w:hint="eastAsia"/>
        </w:rPr>
        <w:t>一是</w:t>
      </w:r>
      <w:r w:rsidR="00000000">
        <w:rPr>
          <w:rFonts w:ascii="Arial" w:eastAsia="等线" w:hAnsi="Arial" w:cs="Arial"/>
        </w:rPr>
        <w:t>加强数据管理专业人才培养和引进，配备足够的专业岗位人员，重点引进和培养数据分类分级、数据安全防护、个人信息保护、网络安全、生成式人工智能合规管理等方面的专业人才；建立常态化的培训机制，定期组织员工开展数据管理相关法律法规、监管制度、专业知识和技能培训，提升员工专业能力。</w:t>
      </w:r>
    </w:p>
    <w:p w14:paraId="1AF43D2A" w14:textId="1F8C58E0" w:rsidR="00BA7D90" w:rsidRDefault="00A469AE" w:rsidP="00A469AE">
      <w:pPr>
        <w:spacing w:before="120" w:after="120" w:line="288" w:lineRule="auto"/>
        <w:ind w:firstLineChars="200" w:firstLine="440"/>
        <w:rPr>
          <w:rFonts w:hint="eastAsia"/>
        </w:rPr>
      </w:pPr>
      <w:r>
        <w:rPr>
          <w:rFonts w:ascii="Arial" w:eastAsia="等线" w:hAnsi="Arial" w:cs="Arial" w:hint="eastAsia"/>
        </w:rPr>
        <w:t>二是</w:t>
      </w:r>
      <w:r w:rsidR="00000000">
        <w:rPr>
          <w:rFonts w:ascii="Arial" w:eastAsia="等线" w:hAnsi="Arial" w:cs="Arial"/>
        </w:rPr>
        <w:t>强化数据合规意识和风险防控意识教育，通过专题培训、案例讲解、宣传警示等方式，提升管理层及员工对数据安全、个人信息保护、网络安全、生成式人工智能数据合规等重要性的认识，摒弃</w:t>
      </w:r>
      <w:r w:rsidR="00000000">
        <w:rPr>
          <w:rFonts w:ascii="Arial" w:eastAsia="等线" w:hAnsi="Arial" w:cs="Arial"/>
        </w:rPr>
        <w:t>“</w:t>
      </w:r>
      <w:r w:rsidR="00000000">
        <w:rPr>
          <w:rFonts w:ascii="Arial" w:eastAsia="等线" w:hAnsi="Arial" w:cs="Arial"/>
        </w:rPr>
        <w:t>重业务、轻数据</w:t>
      </w:r>
      <w:r w:rsidR="00000000">
        <w:rPr>
          <w:rFonts w:ascii="Arial" w:eastAsia="等线" w:hAnsi="Arial" w:cs="Arial"/>
        </w:rPr>
        <w:t>”</w:t>
      </w:r>
      <w:r w:rsidR="00000000">
        <w:rPr>
          <w:rFonts w:ascii="Arial" w:eastAsia="等线" w:hAnsi="Arial" w:cs="Arial"/>
        </w:rPr>
        <w:t>的理念，树立</w:t>
      </w:r>
      <w:r w:rsidR="00000000">
        <w:rPr>
          <w:rFonts w:ascii="Arial" w:eastAsia="等线" w:hAnsi="Arial" w:cs="Arial"/>
        </w:rPr>
        <w:t>“</w:t>
      </w:r>
      <w:r w:rsidR="00000000">
        <w:rPr>
          <w:rFonts w:ascii="Arial" w:eastAsia="等线" w:hAnsi="Arial" w:cs="Arial"/>
        </w:rPr>
        <w:t>数据安全无小事</w:t>
      </w:r>
      <w:r w:rsidR="00000000">
        <w:rPr>
          <w:rFonts w:ascii="Arial" w:eastAsia="等线" w:hAnsi="Arial" w:cs="Arial"/>
        </w:rPr>
        <w:t>”</w:t>
      </w:r>
      <w:r w:rsidR="00000000">
        <w:rPr>
          <w:rFonts w:ascii="Arial" w:eastAsia="等线" w:hAnsi="Arial" w:cs="Arial"/>
        </w:rPr>
        <w:t>的意识，引导员工自觉遵守各项数据管理制度，杜绝违规操作。</w:t>
      </w:r>
    </w:p>
    <w:p w14:paraId="26DB30BA" w14:textId="267EBCFD" w:rsidR="00BA7D90" w:rsidRDefault="00A469AE" w:rsidP="00A469AE">
      <w:pPr>
        <w:spacing w:before="120" w:after="120" w:line="288" w:lineRule="auto"/>
        <w:ind w:firstLineChars="200" w:firstLine="440"/>
        <w:rPr>
          <w:rFonts w:hint="eastAsia"/>
        </w:rPr>
      </w:pPr>
      <w:r>
        <w:rPr>
          <w:rFonts w:ascii="Arial" w:eastAsia="等线" w:hAnsi="Arial" w:cs="Arial" w:hint="eastAsia"/>
        </w:rPr>
        <w:t>三是</w:t>
      </w:r>
      <w:r w:rsidR="00000000">
        <w:rPr>
          <w:rFonts w:ascii="Arial" w:eastAsia="等线" w:hAnsi="Arial" w:cs="Arial"/>
        </w:rPr>
        <w:t>建立数据管理考核机制，将数据管理工作纳入员工绩效考核，明确考核指标，对数据管理工作表现优秀的员工给予表彰奖励，对违反数据管理制度、造成数据安全风险或事件的员工，依法追究其责任，充分调动员工数据管理工作的积极性和主动性。</w:t>
      </w:r>
    </w:p>
    <w:p w14:paraId="746943C2" w14:textId="6724EDE1" w:rsidR="00BA7D90" w:rsidRDefault="00BA7D90">
      <w:pPr>
        <w:spacing w:before="120" w:after="120" w:line="288" w:lineRule="auto"/>
        <w:rPr>
          <w:rFonts w:hint="eastAsia"/>
        </w:rPr>
      </w:pPr>
    </w:p>
    <w:sectPr w:rsidR="00BA7D9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C2AFC" w14:textId="77777777" w:rsidR="005E3130" w:rsidRDefault="005E3130">
      <w:pPr>
        <w:spacing w:after="0" w:line="240" w:lineRule="auto"/>
        <w:rPr>
          <w:rFonts w:hint="eastAsia"/>
        </w:rPr>
      </w:pPr>
      <w:r>
        <w:separator/>
      </w:r>
    </w:p>
  </w:endnote>
  <w:endnote w:type="continuationSeparator" w:id="0">
    <w:p w14:paraId="0E16B1FF" w14:textId="77777777" w:rsidR="005E3130" w:rsidRDefault="005E31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CC44" w14:textId="77777777" w:rsidR="005E3130" w:rsidRDefault="005E3130">
      <w:pPr>
        <w:spacing w:after="0" w:line="240" w:lineRule="auto"/>
        <w:rPr>
          <w:rFonts w:hint="eastAsia"/>
        </w:rPr>
      </w:pPr>
      <w:r>
        <w:separator/>
      </w:r>
    </w:p>
  </w:footnote>
  <w:footnote w:type="continuationSeparator" w:id="0">
    <w:p w14:paraId="514E3A1E" w14:textId="77777777" w:rsidR="005E3130" w:rsidRDefault="005E31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5F1"/>
    <w:multiLevelType w:val="multilevel"/>
    <w:tmpl w:val="66E870E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C46FB4"/>
    <w:multiLevelType w:val="multilevel"/>
    <w:tmpl w:val="514ADA8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9784B"/>
    <w:multiLevelType w:val="multilevel"/>
    <w:tmpl w:val="74069FE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B67624"/>
    <w:multiLevelType w:val="multilevel"/>
    <w:tmpl w:val="084A7CD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2E7046"/>
    <w:multiLevelType w:val="multilevel"/>
    <w:tmpl w:val="DE3098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6A4A31"/>
    <w:multiLevelType w:val="multilevel"/>
    <w:tmpl w:val="1BE8EBD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272A09"/>
    <w:multiLevelType w:val="multilevel"/>
    <w:tmpl w:val="C610F5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036E10"/>
    <w:multiLevelType w:val="multilevel"/>
    <w:tmpl w:val="6598E92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0A0662"/>
    <w:multiLevelType w:val="multilevel"/>
    <w:tmpl w:val="3216D2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E283618"/>
    <w:multiLevelType w:val="multilevel"/>
    <w:tmpl w:val="E8D4A85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7F4B2B"/>
    <w:multiLevelType w:val="multilevel"/>
    <w:tmpl w:val="F92468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32135F"/>
    <w:multiLevelType w:val="multilevel"/>
    <w:tmpl w:val="8A6E23D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80513A"/>
    <w:multiLevelType w:val="multilevel"/>
    <w:tmpl w:val="B16E420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1A214A0"/>
    <w:multiLevelType w:val="multilevel"/>
    <w:tmpl w:val="E24AD65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20B5FC4"/>
    <w:multiLevelType w:val="multilevel"/>
    <w:tmpl w:val="67443A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27023E"/>
    <w:multiLevelType w:val="multilevel"/>
    <w:tmpl w:val="536E0EC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FA6906"/>
    <w:multiLevelType w:val="multilevel"/>
    <w:tmpl w:val="C1460D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F5F2AEE"/>
    <w:multiLevelType w:val="multilevel"/>
    <w:tmpl w:val="601CB13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7C3963"/>
    <w:multiLevelType w:val="multilevel"/>
    <w:tmpl w:val="AEA2EF7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18A62E8"/>
    <w:multiLevelType w:val="multilevel"/>
    <w:tmpl w:val="3152835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8E4243"/>
    <w:multiLevelType w:val="hybridMultilevel"/>
    <w:tmpl w:val="401AA410"/>
    <w:lvl w:ilvl="0" w:tplc="7B5CE6FE">
      <w:start w:val="6"/>
      <w:numFmt w:val="japaneseCounting"/>
      <w:lvlText w:val="（%1）"/>
      <w:lvlJc w:val="left"/>
      <w:pPr>
        <w:ind w:left="960" w:hanging="960"/>
      </w:pPr>
      <w:rPr>
        <w:rFonts w:ascii="Arial" w:eastAsia="等线" w:hAnsi="Arial" w:cs="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44821C9"/>
    <w:multiLevelType w:val="multilevel"/>
    <w:tmpl w:val="C69E301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6263A25"/>
    <w:multiLevelType w:val="multilevel"/>
    <w:tmpl w:val="ADFC50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6CC1503"/>
    <w:multiLevelType w:val="hybridMultilevel"/>
    <w:tmpl w:val="B77A3B62"/>
    <w:lvl w:ilvl="0" w:tplc="CE08C3B0">
      <w:start w:val="6"/>
      <w:numFmt w:val="japaneseCounting"/>
      <w:lvlText w:val="（%1）"/>
      <w:lvlJc w:val="left"/>
      <w:pPr>
        <w:ind w:left="960" w:hanging="960"/>
      </w:pPr>
      <w:rPr>
        <w:rFonts w:ascii="Arial" w:eastAsia="等线" w:hAnsi="Arial" w:cs="Arial" w:hint="default"/>
        <w:b/>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7285CE3"/>
    <w:multiLevelType w:val="multilevel"/>
    <w:tmpl w:val="5BD2DDC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5554C2"/>
    <w:multiLevelType w:val="multilevel"/>
    <w:tmpl w:val="E182FA1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D205304"/>
    <w:multiLevelType w:val="multilevel"/>
    <w:tmpl w:val="27E628D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EF82D52"/>
    <w:multiLevelType w:val="multilevel"/>
    <w:tmpl w:val="ADB69E4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0555A39"/>
    <w:multiLevelType w:val="multilevel"/>
    <w:tmpl w:val="F9CCAEC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22C10AB"/>
    <w:multiLevelType w:val="multilevel"/>
    <w:tmpl w:val="67301C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9773E3C"/>
    <w:multiLevelType w:val="multilevel"/>
    <w:tmpl w:val="895634E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C3B6559"/>
    <w:multiLevelType w:val="multilevel"/>
    <w:tmpl w:val="919A40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C8D3405"/>
    <w:multiLevelType w:val="multilevel"/>
    <w:tmpl w:val="C872676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EEB71E2"/>
    <w:multiLevelType w:val="multilevel"/>
    <w:tmpl w:val="5546DC2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FC64805"/>
    <w:multiLevelType w:val="multilevel"/>
    <w:tmpl w:val="4754B31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3AF4FC7"/>
    <w:multiLevelType w:val="multilevel"/>
    <w:tmpl w:val="92AEA4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53254C6"/>
    <w:multiLevelType w:val="multilevel"/>
    <w:tmpl w:val="E812B0E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7693D38"/>
    <w:multiLevelType w:val="multilevel"/>
    <w:tmpl w:val="A288E1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9C423AB"/>
    <w:multiLevelType w:val="multilevel"/>
    <w:tmpl w:val="2ADC9A1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A9E53B2"/>
    <w:multiLevelType w:val="multilevel"/>
    <w:tmpl w:val="50AAF8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D5B6A90"/>
    <w:multiLevelType w:val="multilevel"/>
    <w:tmpl w:val="DD0A4F5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E734D6F"/>
    <w:multiLevelType w:val="multilevel"/>
    <w:tmpl w:val="AED24D6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F8F5A94"/>
    <w:multiLevelType w:val="multilevel"/>
    <w:tmpl w:val="5210A4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1752DCC"/>
    <w:multiLevelType w:val="multilevel"/>
    <w:tmpl w:val="3CE6BA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2AA002D"/>
    <w:multiLevelType w:val="multilevel"/>
    <w:tmpl w:val="EBA83F5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34662EF"/>
    <w:multiLevelType w:val="multilevel"/>
    <w:tmpl w:val="6C5450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45166CF"/>
    <w:multiLevelType w:val="multilevel"/>
    <w:tmpl w:val="CF1605D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50B546E"/>
    <w:multiLevelType w:val="multilevel"/>
    <w:tmpl w:val="AF84E6C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7812A4F"/>
    <w:multiLevelType w:val="multilevel"/>
    <w:tmpl w:val="8D02211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80F7E16"/>
    <w:multiLevelType w:val="multilevel"/>
    <w:tmpl w:val="DF62323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9834367"/>
    <w:multiLevelType w:val="multilevel"/>
    <w:tmpl w:val="2FC279A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D985B3F"/>
    <w:multiLevelType w:val="multilevel"/>
    <w:tmpl w:val="725A492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F3A6BC0"/>
    <w:multiLevelType w:val="multilevel"/>
    <w:tmpl w:val="C306553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0655C88"/>
    <w:multiLevelType w:val="multilevel"/>
    <w:tmpl w:val="416ACD4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46014FF"/>
    <w:multiLevelType w:val="multilevel"/>
    <w:tmpl w:val="5F8E251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5FA688F"/>
    <w:multiLevelType w:val="multilevel"/>
    <w:tmpl w:val="05BE872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6911760"/>
    <w:multiLevelType w:val="multilevel"/>
    <w:tmpl w:val="ECE003F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8A42599"/>
    <w:multiLevelType w:val="multilevel"/>
    <w:tmpl w:val="512EA52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A545F6E"/>
    <w:multiLevelType w:val="multilevel"/>
    <w:tmpl w:val="A84E483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A6E568D"/>
    <w:multiLevelType w:val="multilevel"/>
    <w:tmpl w:val="6038A94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C3157F5"/>
    <w:multiLevelType w:val="multilevel"/>
    <w:tmpl w:val="19A407B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E1C7114"/>
    <w:multiLevelType w:val="multilevel"/>
    <w:tmpl w:val="94E6B0D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EE3526E"/>
    <w:multiLevelType w:val="multilevel"/>
    <w:tmpl w:val="2B34D5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151125B"/>
    <w:multiLevelType w:val="multilevel"/>
    <w:tmpl w:val="BD2823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2893490"/>
    <w:multiLevelType w:val="multilevel"/>
    <w:tmpl w:val="5EFEA1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2A74DAE"/>
    <w:multiLevelType w:val="hybridMultilevel"/>
    <w:tmpl w:val="A67C923A"/>
    <w:lvl w:ilvl="0" w:tplc="9DE6E61E">
      <w:start w:val="1"/>
      <w:numFmt w:val="japaneseCounting"/>
      <w:lvlText w:val="（%1）"/>
      <w:lvlJc w:val="left"/>
      <w:pPr>
        <w:ind w:left="960" w:hanging="960"/>
      </w:pPr>
      <w:rPr>
        <w:rFonts w:ascii="Arial" w:eastAsia="等线" w:hAnsi="Arial" w:cs="Arial" w:hint="default"/>
        <w:b/>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4D136CE"/>
    <w:multiLevelType w:val="multilevel"/>
    <w:tmpl w:val="96C6AD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7677CEE"/>
    <w:multiLevelType w:val="multilevel"/>
    <w:tmpl w:val="0A5246E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7AE30FF"/>
    <w:multiLevelType w:val="multilevel"/>
    <w:tmpl w:val="CFCEB86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A4C771D"/>
    <w:multiLevelType w:val="multilevel"/>
    <w:tmpl w:val="DB527E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B9D1509"/>
    <w:multiLevelType w:val="multilevel"/>
    <w:tmpl w:val="7F8448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FCF0265"/>
    <w:multiLevelType w:val="multilevel"/>
    <w:tmpl w:val="03D433F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0719544">
    <w:abstractNumId w:val="54"/>
  </w:num>
  <w:num w:numId="2" w16cid:durableId="472908672">
    <w:abstractNumId w:val="0"/>
  </w:num>
  <w:num w:numId="3" w16cid:durableId="607785159">
    <w:abstractNumId w:val="30"/>
  </w:num>
  <w:num w:numId="4" w16cid:durableId="969632811">
    <w:abstractNumId w:val="55"/>
  </w:num>
  <w:num w:numId="5" w16cid:durableId="1433041591">
    <w:abstractNumId w:val="40"/>
  </w:num>
  <w:num w:numId="6" w16cid:durableId="120803908">
    <w:abstractNumId w:val="25"/>
  </w:num>
  <w:num w:numId="7" w16cid:durableId="1391684225">
    <w:abstractNumId w:val="24"/>
  </w:num>
  <w:num w:numId="8" w16cid:durableId="973406289">
    <w:abstractNumId w:val="11"/>
  </w:num>
  <w:num w:numId="9" w16cid:durableId="5983040">
    <w:abstractNumId w:val="58"/>
  </w:num>
  <w:num w:numId="10" w16cid:durableId="1668367445">
    <w:abstractNumId w:val="13"/>
  </w:num>
  <w:num w:numId="11" w16cid:durableId="872232461">
    <w:abstractNumId w:val="71"/>
  </w:num>
  <w:num w:numId="12" w16cid:durableId="738595676">
    <w:abstractNumId w:val="53"/>
  </w:num>
  <w:num w:numId="13" w16cid:durableId="1193373706">
    <w:abstractNumId w:val="31"/>
  </w:num>
  <w:num w:numId="14" w16cid:durableId="961615270">
    <w:abstractNumId w:val="57"/>
  </w:num>
  <w:num w:numId="15" w16cid:durableId="522325427">
    <w:abstractNumId w:val="63"/>
  </w:num>
  <w:num w:numId="16" w16cid:durableId="2053648106">
    <w:abstractNumId w:val="34"/>
  </w:num>
  <w:num w:numId="17" w16cid:durableId="1436705301">
    <w:abstractNumId w:val="26"/>
  </w:num>
  <w:num w:numId="18" w16cid:durableId="1450277594">
    <w:abstractNumId w:val="36"/>
  </w:num>
  <w:num w:numId="19" w16cid:durableId="1168907407">
    <w:abstractNumId w:val="1"/>
  </w:num>
  <w:num w:numId="20" w16cid:durableId="1770002841">
    <w:abstractNumId w:val="50"/>
  </w:num>
  <w:num w:numId="21" w16cid:durableId="401148977">
    <w:abstractNumId w:val="19"/>
  </w:num>
  <w:num w:numId="22" w16cid:durableId="579601603">
    <w:abstractNumId w:val="33"/>
  </w:num>
  <w:num w:numId="23" w16cid:durableId="544176651">
    <w:abstractNumId w:val="8"/>
  </w:num>
  <w:num w:numId="24" w16cid:durableId="1705473780">
    <w:abstractNumId w:val="29"/>
  </w:num>
  <w:num w:numId="25" w16cid:durableId="1215845634">
    <w:abstractNumId w:val="22"/>
  </w:num>
  <w:num w:numId="26" w16cid:durableId="777061616">
    <w:abstractNumId w:val="68"/>
  </w:num>
  <w:num w:numId="27" w16cid:durableId="1061173109">
    <w:abstractNumId w:val="49"/>
  </w:num>
  <w:num w:numId="28" w16cid:durableId="1332685814">
    <w:abstractNumId w:val="28"/>
  </w:num>
  <w:num w:numId="29" w16cid:durableId="827477906">
    <w:abstractNumId w:val="42"/>
  </w:num>
  <w:num w:numId="30" w16cid:durableId="239995595">
    <w:abstractNumId w:val="6"/>
  </w:num>
  <w:num w:numId="31" w16cid:durableId="1444571943">
    <w:abstractNumId w:val="7"/>
  </w:num>
  <w:num w:numId="32" w16cid:durableId="909659812">
    <w:abstractNumId w:val="46"/>
  </w:num>
  <w:num w:numId="33" w16cid:durableId="2102483130">
    <w:abstractNumId w:val="2"/>
  </w:num>
  <w:num w:numId="34" w16cid:durableId="989560545">
    <w:abstractNumId w:val="70"/>
  </w:num>
  <w:num w:numId="35" w16cid:durableId="1800029497">
    <w:abstractNumId w:val="52"/>
  </w:num>
  <w:num w:numId="36" w16cid:durableId="277295128">
    <w:abstractNumId w:val="51"/>
  </w:num>
  <w:num w:numId="37" w16cid:durableId="401410641">
    <w:abstractNumId w:val="9"/>
  </w:num>
  <w:num w:numId="38" w16cid:durableId="961889222">
    <w:abstractNumId w:val="60"/>
  </w:num>
  <w:num w:numId="39" w16cid:durableId="546340077">
    <w:abstractNumId w:val="62"/>
  </w:num>
  <w:num w:numId="40" w16cid:durableId="650065685">
    <w:abstractNumId w:val="56"/>
  </w:num>
  <w:num w:numId="41" w16cid:durableId="1186405790">
    <w:abstractNumId w:val="5"/>
  </w:num>
  <w:num w:numId="42" w16cid:durableId="1386946899">
    <w:abstractNumId w:val="66"/>
  </w:num>
  <w:num w:numId="43" w16cid:durableId="709574753">
    <w:abstractNumId w:val="14"/>
  </w:num>
  <w:num w:numId="44" w16cid:durableId="1071273157">
    <w:abstractNumId w:val="43"/>
  </w:num>
  <w:num w:numId="45" w16cid:durableId="1822840856">
    <w:abstractNumId w:val="48"/>
  </w:num>
  <w:num w:numId="46" w16cid:durableId="2008093949">
    <w:abstractNumId w:val="16"/>
  </w:num>
  <w:num w:numId="47" w16cid:durableId="2102291192">
    <w:abstractNumId w:val="67"/>
  </w:num>
  <w:num w:numId="48" w16cid:durableId="495653671">
    <w:abstractNumId w:val="18"/>
  </w:num>
  <w:num w:numId="49" w16cid:durableId="563223381">
    <w:abstractNumId w:val="10"/>
  </w:num>
  <w:num w:numId="50" w16cid:durableId="2089494790">
    <w:abstractNumId w:val="41"/>
  </w:num>
  <w:num w:numId="51" w16cid:durableId="1535996976">
    <w:abstractNumId w:val="12"/>
  </w:num>
  <w:num w:numId="52" w16cid:durableId="746655510">
    <w:abstractNumId w:val="64"/>
  </w:num>
  <w:num w:numId="53" w16cid:durableId="338196418">
    <w:abstractNumId w:val="45"/>
  </w:num>
  <w:num w:numId="54" w16cid:durableId="1612979077">
    <w:abstractNumId w:val="59"/>
  </w:num>
  <w:num w:numId="55" w16cid:durableId="1521049017">
    <w:abstractNumId w:val="32"/>
  </w:num>
  <w:num w:numId="56" w16cid:durableId="908274194">
    <w:abstractNumId w:val="61"/>
  </w:num>
  <w:num w:numId="57" w16cid:durableId="561602790">
    <w:abstractNumId w:val="69"/>
  </w:num>
  <w:num w:numId="58" w16cid:durableId="1158809306">
    <w:abstractNumId w:val="4"/>
  </w:num>
  <w:num w:numId="59" w16cid:durableId="871923568">
    <w:abstractNumId w:val="35"/>
  </w:num>
  <w:num w:numId="60" w16cid:durableId="640425498">
    <w:abstractNumId w:val="39"/>
  </w:num>
  <w:num w:numId="61" w16cid:durableId="1561404097">
    <w:abstractNumId w:val="47"/>
  </w:num>
  <w:num w:numId="62" w16cid:durableId="1742556428">
    <w:abstractNumId w:val="21"/>
  </w:num>
  <w:num w:numId="63" w16cid:durableId="613633366">
    <w:abstractNumId w:val="3"/>
  </w:num>
  <w:num w:numId="64" w16cid:durableId="637691145">
    <w:abstractNumId w:val="27"/>
  </w:num>
  <w:num w:numId="65" w16cid:durableId="284582065">
    <w:abstractNumId w:val="37"/>
  </w:num>
  <w:num w:numId="66" w16cid:durableId="886603216">
    <w:abstractNumId w:val="38"/>
  </w:num>
  <w:num w:numId="67" w16cid:durableId="12197270">
    <w:abstractNumId w:val="17"/>
  </w:num>
  <w:num w:numId="68" w16cid:durableId="1835101635">
    <w:abstractNumId w:val="44"/>
  </w:num>
  <w:num w:numId="69" w16cid:durableId="1763338912">
    <w:abstractNumId w:val="15"/>
  </w:num>
  <w:num w:numId="70" w16cid:durableId="1800762368">
    <w:abstractNumId w:val="23"/>
  </w:num>
  <w:num w:numId="71" w16cid:durableId="630214369">
    <w:abstractNumId w:val="65"/>
  </w:num>
  <w:num w:numId="72" w16cid:durableId="109401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90"/>
    <w:rsid w:val="005E3130"/>
    <w:rsid w:val="00961308"/>
    <w:rsid w:val="00A469AE"/>
    <w:rsid w:val="00BA7D90"/>
    <w:rsid w:val="00F83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358D7"/>
  <w15:docId w15:val="{55E1BC75-5AD1-4E4A-891E-F8FBEDC6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69A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469AE"/>
    <w:rPr>
      <w:sz w:val="18"/>
      <w:szCs w:val="18"/>
    </w:rPr>
  </w:style>
  <w:style w:type="paragraph" w:styleId="a5">
    <w:name w:val="footer"/>
    <w:basedOn w:val="a"/>
    <w:link w:val="a6"/>
    <w:uiPriority w:val="99"/>
    <w:unhideWhenUsed/>
    <w:rsid w:val="00A469AE"/>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469AE"/>
    <w:rPr>
      <w:sz w:val="18"/>
      <w:szCs w:val="18"/>
    </w:rPr>
  </w:style>
  <w:style w:type="paragraph" w:styleId="a7">
    <w:name w:val="List Paragraph"/>
    <w:basedOn w:val="a"/>
    <w:uiPriority w:val="34"/>
    <w:qFormat/>
    <w:rsid w:val="00A469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6516</Words>
  <Characters>6516</Characters>
  <Application>Microsoft Office Word</Application>
  <DocSecurity>0</DocSecurity>
  <Lines>203</Lines>
  <Paragraphs>110</Paragraphs>
  <ScaleCrop>false</ScaleCrop>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Wu Dior</cp:lastModifiedBy>
  <cp:revision>3</cp:revision>
  <dcterms:created xsi:type="dcterms:W3CDTF">2026-01-28T10:30:00Z</dcterms:created>
  <dcterms:modified xsi:type="dcterms:W3CDTF">2026-01-28T10:30:00Z</dcterms:modified>
</cp:coreProperties>
</file>