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0D4D" w14:textId="3AACA074" w:rsidR="00AF6CFD" w:rsidRDefault="009D3F81">
      <w:r>
        <w:t>Wir sind Rechtsanwälte in Bürogemeinschaft, aber arbeiten unabhängig voneinander. 200.. hab ich die Kanzlei übernommen und bin seitdem  Rechtanwa</w:t>
      </w:r>
      <w:r>
        <w:t xml:space="preserve">lt </w:t>
      </w:r>
    </w:p>
    <w:p w14:paraId="6DC70D4E" w14:textId="77777777" w:rsidR="00AF6CFD" w:rsidRDefault="00AF6CFD"/>
    <w:p w14:paraId="6DC70D4F" w14:textId="77777777" w:rsidR="00AF6CFD" w:rsidRDefault="00AF6CFD"/>
    <w:p w14:paraId="6DC70D50" w14:textId="77777777" w:rsidR="00AF6CFD" w:rsidRDefault="009D3F81">
      <w:r>
        <w:t>Arbeitsrecht</w:t>
      </w:r>
    </w:p>
    <w:p w14:paraId="6DC70D51" w14:textId="77777777" w:rsidR="00AF6CFD" w:rsidRDefault="00AF6CFD"/>
    <w:p w14:paraId="6DC70D52" w14:textId="77777777" w:rsidR="00AF6CFD" w:rsidRDefault="009D3F81">
      <w:pPr>
        <w:spacing w:after="360"/>
        <w:rPr>
          <w:rFonts w:ascii="Arial" w:eastAsia="Arial" w:hAnsi="Arial" w:cs="Arial"/>
          <w:color w:val="858585"/>
          <w:sz w:val="18"/>
          <w:szCs w:val="18"/>
        </w:rPr>
      </w:pPr>
      <w:r>
        <w:rPr>
          <w:rFonts w:ascii="Arial" w:eastAsia="Arial" w:hAnsi="Arial" w:cs="Arial"/>
          <w:color w:val="858585"/>
          <w:sz w:val="18"/>
          <w:szCs w:val="18"/>
        </w:rPr>
        <w:t>Im Arbeitsrecht begleiten wir Sie von der Begründung bis zur Beendigung und Abwicklung des</w:t>
      </w:r>
      <w:r>
        <w:rPr>
          <w:rFonts w:ascii="Arial" w:eastAsia="Arial" w:hAnsi="Arial" w:cs="Arial"/>
          <w:color w:val="858585"/>
          <w:sz w:val="18"/>
          <w:szCs w:val="18"/>
        </w:rPr>
        <w:t xml:space="preserve"> Arbeitsverhältnisses. Wir erstellen und prüfen für Sie:</w:t>
      </w:r>
    </w:p>
    <w:p w14:paraId="6DC70D53" w14:textId="77777777" w:rsidR="00AF6CFD" w:rsidRDefault="009D3F81">
      <w:pPr>
        <w:numPr>
          <w:ilvl w:val="0"/>
          <w:numId w:val="2"/>
        </w:numPr>
        <w:spacing w:before="280"/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Arbeitsverträge</w:t>
      </w:r>
    </w:p>
    <w:p w14:paraId="6DC70D54" w14:textId="77777777" w:rsidR="00AF6CFD" w:rsidRDefault="009D3F81">
      <w:pPr>
        <w:numPr>
          <w:ilvl w:val="0"/>
          <w:numId w:val="2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alle arbeitsrechtlichen Nebenverträge</w:t>
      </w:r>
    </w:p>
    <w:p w14:paraId="6DC70D55" w14:textId="77777777" w:rsidR="00AF6CFD" w:rsidRDefault="009D3F81">
      <w:pPr>
        <w:numPr>
          <w:ilvl w:val="0"/>
          <w:numId w:val="2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Abmahnungen</w:t>
      </w:r>
    </w:p>
    <w:p w14:paraId="6DC70D56" w14:textId="77777777" w:rsidR="00AF6CFD" w:rsidRDefault="009D3F81">
      <w:pPr>
        <w:numPr>
          <w:ilvl w:val="0"/>
          <w:numId w:val="2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Kündigungen</w:t>
      </w:r>
    </w:p>
    <w:p w14:paraId="6DC70D57" w14:textId="77777777" w:rsidR="00AF6CFD" w:rsidRDefault="009D3F81">
      <w:pPr>
        <w:numPr>
          <w:ilvl w:val="0"/>
          <w:numId w:val="2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Aufhebungsvereinbarungen</w:t>
      </w:r>
    </w:p>
    <w:p w14:paraId="6DC70D58" w14:textId="77777777" w:rsidR="00AF6CFD" w:rsidRDefault="009D3F81">
      <w:pPr>
        <w:numPr>
          <w:ilvl w:val="0"/>
          <w:numId w:val="2"/>
        </w:numPr>
        <w:spacing w:after="280"/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Zeugnisse</w:t>
      </w:r>
    </w:p>
    <w:p w14:paraId="6DC70D59" w14:textId="77777777" w:rsidR="00AF6CFD" w:rsidRDefault="009D3F81">
      <w:r>
        <w:t>Vertragsrecht</w:t>
      </w:r>
    </w:p>
    <w:p w14:paraId="6DC70D5A" w14:textId="77777777" w:rsidR="00AF6CFD" w:rsidRDefault="00AF6CFD"/>
    <w:p w14:paraId="6DC70D5B" w14:textId="77777777" w:rsidR="00AF6CFD" w:rsidRDefault="009D3F81">
      <w:pPr>
        <w:spacing w:after="360"/>
        <w:rPr>
          <w:rFonts w:ascii="Arial" w:eastAsia="Arial" w:hAnsi="Arial" w:cs="Arial"/>
          <w:color w:val="858585"/>
          <w:sz w:val="18"/>
          <w:szCs w:val="18"/>
        </w:rPr>
      </w:pPr>
      <w:r>
        <w:rPr>
          <w:rFonts w:ascii="Arial" w:eastAsia="Arial" w:hAnsi="Arial" w:cs="Arial"/>
          <w:color w:val="858585"/>
          <w:sz w:val="18"/>
          <w:szCs w:val="18"/>
        </w:rPr>
        <w:t>Wir erstellen, prüfen, ändern, beenden und wickeln Verträge für Sie ab.</w:t>
      </w:r>
      <w:r>
        <w:rPr>
          <w:rFonts w:ascii="Arial" w:eastAsia="Arial" w:hAnsi="Arial" w:cs="Arial"/>
          <w:color w:val="858585"/>
          <w:sz w:val="18"/>
          <w:szCs w:val="18"/>
        </w:rPr>
        <w:t> Dazu zählen:</w:t>
      </w:r>
    </w:p>
    <w:p w14:paraId="6DC70D5C" w14:textId="77777777" w:rsidR="00AF6CFD" w:rsidRDefault="009D3F81">
      <w:pPr>
        <w:numPr>
          <w:ilvl w:val="0"/>
          <w:numId w:val="3"/>
        </w:numPr>
        <w:spacing w:before="280"/>
        <w:rPr>
          <w:color w:val="858585"/>
        </w:rPr>
      </w:pPr>
      <w:proofErr w:type="spellStart"/>
      <w:r>
        <w:rPr>
          <w:rFonts w:ascii="Arial" w:eastAsia="Arial" w:hAnsi="Arial" w:cs="Arial"/>
          <w:color w:val="858585"/>
          <w:sz w:val="18"/>
          <w:szCs w:val="18"/>
        </w:rPr>
        <w:t>Kaufvertäge</w:t>
      </w:r>
      <w:proofErr w:type="spellEnd"/>
      <w:r>
        <w:rPr>
          <w:rFonts w:ascii="Arial" w:eastAsia="Arial" w:hAnsi="Arial" w:cs="Arial"/>
          <w:color w:val="858585"/>
          <w:sz w:val="18"/>
          <w:szCs w:val="18"/>
        </w:rPr>
        <w:t xml:space="preserve"> und Allgemeine Geschäftsbedingungen (AGB)</w:t>
      </w:r>
    </w:p>
    <w:p w14:paraId="6DC70D5D" w14:textId="77777777" w:rsidR="00AF6CFD" w:rsidRDefault="009D3F81">
      <w:pPr>
        <w:numPr>
          <w:ilvl w:val="0"/>
          <w:numId w:val="3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Dienstverträge</w:t>
      </w:r>
    </w:p>
    <w:p w14:paraId="6DC70D5E" w14:textId="77777777" w:rsidR="00AF6CFD" w:rsidRDefault="009D3F81">
      <w:pPr>
        <w:numPr>
          <w:ilvl w:val="0"/>
          <w:numId w:val="3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Werkverträge</w:t>
      </w:r>
    </w:p>
    <w:p w14:paraId="6DC70D5F" w14:textId="77777777" w:rsidR="00AF6CFD" w:rsidRDefault="009D3F81">
      <w:pPr>
        <w:numPr>
          <w:ilvl w:val="0"/>
          <w:numId w:val="3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Leasingverträge</w:t>
      </w:r>
    </w:p>
    <w:p w14:paraId="6DC70D60" w14:textId="77777777" w:rsidR="00AF6CFD" w:rsidRDefault="009D3F81">
      <w:pPr>
        <w:numPr>
          <w:ilvl w:val="0"/>
          <w:numId w:val="3"/>
        </w:numPr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Franchiseverträge</w:t>
      </w:r>
    </w:p>
    <w:p w14:paraId="6DC70D61" w14:textId="77777777" w:rsidR="00AF6CFD" w:rsidRDefault="009D3F81">
      <w:pPr>
        <w:numPr>
          <w:ilvl w:val="0"/>
          <w:numId w:val="3"/>
        </w:numPr>
        <w:spacing w:after="280"/>
        <w:rPr>
          <w:color w:val="858585"/>
        </w:rPr>
      </w:pPr>
      <w:r>
        <w:rPr>
          <w:rFonts w:ascii="Arial" w:eastAsia="Arial" w:hAnsi="Arial" w:cs="Arial"/>
          <w:color w:val="858585"/>
          <w:sz w:val="18"/>
          <w:szCs w:val="18"/>
        </w:rPr>
        <w:t>gemischttypische Verträge.</w:t>
      </w:r>
    </w:p>
    <w:p w14:paraId="6DC70D62" w14:textId="77777777" w:rsidR="00AF6CFD" w:rsidRDefault="009D3F81">
      <w:pPr>
        <w:spacing w:after="360"/>
        <w:rPr>
          <w:rFonts w:ascii="Arial" w:eastAsia="Arial" w:hAnsi="Arial" w:cs="Arial"/>
          <w:color w:val="858585"/>
          <w:sz w:val="18"/>
          <w:szCs w:val="18"/>
        </w:rPr>
      </w:pPr>
      <w:r>
        <w:rPr>
          <w:rFonts w:ascii="Arial" w:eastAsia="Arial" w:hAnsi="Arial" w:cs="Arial"/>
          <w:color w:val="858585"/>
          <w:sz w:val="18"/>
          <w:szCs w:val="18"/>
        </w:rPr>
        <w:t>Selbstverständlich klagen wir für Sie Ihre Ansprüche aus Verträgen ein oder wehren Klagen für Sie a</w:t>
      </w:r>
      <w:r>
        <w:rPr>
          <w:rFonts w:ascii="Arial" w:eastAsia="Arial" w:hAnsi="Arial" w:cs="Arial"/>
          <w:color w:val="858585"/>
          <w:sz w:val="18"/>
          <w:szCs w:val="18"/>
        </w:rPr>
        <w:t>b.</w:t>
      </w:r>
    </w:p>
    <w:p w14:paraId="6DC70D63" w14:textId="77777777" w:rsidR="00AF6CFD" w:rsidRDefault="009D3F81">
      <w:pPr>
        <w:pBdr>
          <w:top w:val="nil"/>
          <w:left w:val="nil"/>
          <w:bottom w:val="nil"/>
          <w:right w:val="nil"/>
          <w:between w:val="nil"/>
        </w:pBdr>
        <w:spacing w:after="300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Familienrecht</w:t>
      </w:r>
    </w:p>
    <w:p w14:paraId="6DC70D64" w14:textId="77777777" w:rsidR="00AF6CFD" w:rsidRDefault="009D3F81">
      <w:pPr>
        <w:pBdr>
          <w:top w:val="nil"/>
          <w:left w:val="nil"/>
          <w:bottom w:val="nil"/>
          <w:right w:val="nil"/>
          <w:between w:val="nil"/>
        </w:pBdr>
        <w:spacing w:after="300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>Auch im Familienrecht stehen wir Ihnen beratend zur Seite und vertreten Sie vor Gericht bei folgenden Themen:</w:t>
      </w:r>
    </w:p>
    <w:p w14:paraId="6DC70D65" w14:textId="77777777" w:rsidR="00AF6CFD" w:rsidRDefault="009D3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>Eherecht</w:t>
      </w:r>
    </w:p>
    <w:p w14:paraId="6DC70D66" w14:textId="0B945A2F" w:rsidR="00AF6CFD" w:rsidRDefault="009D3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> </w:t>
      </w:r>
      <w:hyperlink r:id="rId5">
        <w:r>
          <w:rPr>
            <w:rFonts w:ascii="Open Sans" w:eastAsia="Open Sans" w:hAnsi="Open Sans" w:cs="Open Sans"/>
            <w:color w:val="337AB7"/>
            <w:sz w:val="21"/>
            <w:szCs w:val="21"/>
            <w:u w:val="single"/>
          </w:rPr>
          <w:t>Scheidung</w:t>
        </w:r>
      </w:hyperlink>
    </w:p>
    <w:p w14:paraId="6DC70D67" w14:textId="77777777" w:rsidR="00AF6CFD" w:rsidRDefault="009D3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</w:t>
      </w:r>
      <w:hyperlink r:id="rId6">
        <w:r>
          <w:rPr>
            <w:rFonts w:ascii="Open Sans" w:eastAsia="Open Sans" w:hAnsi="Open Sans" w:cs="Open Sans"/>
            <w:color w:val="337AB7"/>
            <w:sz w:val="21"/>
            <w:szCs w:val="21"/>
            <w:u w:val="single"/>
          </w:rPr>
          <w:t>Unterhalt</w:t>
        </w:r>
      </w:hyperlink>
      <w:r>
        <w:rPr>
          <w:rFonts w:ascii="Open Sans" w:eastAsia="Open Sans" w:hAnsi="Open Sans" w:cs="Open Sans"/>
          <w:color w:val="333333"/>
          <w:sz w:val="21"/>
          <w:szCs w:val="21"/>
        </w:rPr>
        <w:t> </w:t>
      </w:r>
    </w:p>
    <w:p w14:paraId="6DC70D68" w14:textId="77777777" w:rsidR="00AF6CFD" w:rsidRDefault="009D3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 xml:space="preserve"> nichteheliche Lebensgemeinschaft.</w:t>
      </w:r>
    </w:p>
    <w:p w14:paraId="6DC70D69" w14:textId="77777777" w:rsidR="00AF6CFD" w:rsidRDefault="009D3F81">
      <w:pPr>
        <w:pBdr>
          <w:top w:val="nil"/>
          <w:left w:val="nil"/>
          <w:bottom w:val="nil"/>
          <w:right w:val="nil"/>
          <w:between w:val="nil"/>
        </w:pBdr>
        <w:spacing w:after="300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</w:rPr>
        <w:t>Das Familienrecht umfasst auch die Bereiche Adoption</w:t>
      </w:r>
      <w:r>
        <w:rPr>
          <w:rFonts w:ascii="Open Sans" w:eastAsia="Open Sans" w:hAnsi="Open Sans" w:cs="Open Sans"/>
          <w:color w:val="333333"/>
          <w:sz w:val="21"/>
          <w:szCs w:val="21"/>
        </w:rPr>
        <w:t>, Abstammung sowie die gesetzlichen Vertretungsfunktionen wie Vormundschaft, Pflegschaft und die rechtliche Betreuung. In diesen Bereichen können oft vielfältige Fragestellungen auftreten, die wir Ihnen gerne beantworten.</w:t>
      </w:r>
    </w:p>
    <w:p w14:paraId="6DC70D6A" w14:textId="77777777" w:rsidR="00AF6CFD" w:rsidRDefault="009D3F81">
      <w:r>
        <w:t>Strafrecht</w:t>
      </w:r>
    </w:p>
    <w:p w14:paraId="6DC70D6B" w14:textId="77777777" w:rsidR="00AF6CFD" w:rsidRDefault="00AF6CFD"/>
    <w:p w14:paraId="6DC70D6C" w14:textId="77777777" w:rsidR="00AF6CFD" w:rsidRDefault="009D3F81">
      <w:pPr>
        <w:rPr>
          <w:rFonts w:ascii="Open Sans" w:eastAsia="Open Sans" w:hAnsi="Open Sans" w:cs="Open Sans"/>
          <w:color w:val="595959"/>
          <w:sz w:val="21"/>
          <w:szCs w:val="21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t>wir beraten und vertre</w:t>
      </w:r>
      <w:r>
        <w:rPr>
          <w:rFonts w:ascii="Open Sans" w:eastAsia="Open Sans" w:hAnsi="Open Sans" w:cs="Open Sans"/>
          <w:color w:val="595959"/>
          <w:sz w:val="21"/>
          <w:szCs w:val="21"/>
        </w:rPr>
        <w:t>ten Sie kompetent und engagiert in allen Bereichen des Strafrechts, u.a.:</w:t>
      </w:r>
    </w:p>
    <w:p w14:paraId="6DC70D6D" w14:textId="77777777" w:rsidR="00AF6CFD" w:rsidRDefault="00AF6CFD">
      <w:pPr>
        <w:rPr>
          <w:rFonts w:ascii="Open Sans" w:eastAsia="Open Sans" w:hAnsi="Open Sans" w:cs="Open Sans"/>
          <w:color w:val="595959"/>
          <w:sz w:val="21"/>
          <w:szCs w:val="21"/>
        </w:rPr>
      </w:pPr>
    </w:p>
    <w:p w14:paraId="6DC70D6E" w14:textId="77777777" w:rsidR="00AF6CFD" w:rsidRDefault="009D3F81">
      <w:pPr>
        <w:numPr>
          <w:ilvl w:val="0"/>
          <w:numId w:val="1"/>
        </w:numPr>
        <w:spacing w:after="180"/>
        <w:ind w:left="945"/>
        <w:rPr>
          <w:color w:val="595959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lastRenderedPageBreak/>
        <w:t>Allgemeines Strafrecht (Diebstahl, Betrug, Körperverletzung, Sachbeschädigung, Raub)</w:t>
      </w:r>
    </w:p>
    <w:p w14:paraId="6DC70D6F" w14:textId="77777777" w:rsidR="00AF6CFD" w:rsidRDefault="009D3F81">
      <w:pPr>
        <w:numPr>
          <w:ilvl w:val="0"/>
          <w:numId w:val="1"/>
        </w:numPr>
        <w:spacing w:after="180"/>
        <w:ind w:left="945"/>
        <w:rPr>
          <w:color w:val="595959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t>Verstöße gegen das Betäubungsmittelgesetz</w:t>
      </w:r>
    </w:p>
    <w:p w14:paraId="6DC70D70" w14:textId="77777777" w:rsidR="00AF6CFD" w:rsidRDefault="009D3F81">
      <w:pPr>
        <w:numPr>
          <w:ilvl w:val="0"/>
          <w:numId w:val="1"/>
        </w:numPr>
        <w:spacing w:after="180"/>
        <w:ind w:left="945"/>
        <w:rPr>
          <w:color w:val="595959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t>Jugendstrafrecht</w:t>
      </w:r>
    </w:p>
    <w:p w14:paraId="6DC70D71" w14:textId="77777777" w:rsidR="00AF6CFD" w:rsidRDefault="009D3F81">
      <w:pPr>
        <w:numPr>
          <w:ilvl w:val="0"/>
          <w:numId w:val="1"/>
        </w:numPr>
        <w:spacing w:after="180"/>
        <w:ind w:left="945"/>
        <w:rPr>
          <w:color w:val="595959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t>Wirtschaftsstrafrecht</w:t>
      </w:r>
    </w:p>
    <w:p w14:paraId="6DC70D72" w14:textId="77777777" w:rsidR="00AF6CFD" w:rsidRDefault="009D3F81">
      <w:pPr>
        <w:numPr>
          <w:ilvl w:val="0"/>
          <w:numId w:val="1"/>
        </w:numPr>
        <w:spacing w:after="180"/>
        <w:ind w:left="945"/>
        <w:rPr>
          <w:color w:val="595959"/>
        </w:rPr>
      </w:pPr>
      <w:r>
        <w:rPr>
          <w:rFonts w:ascii="Open Sans" w:eastAsia="Open Sans" w:hAnsi="Open Sans" w:cs="Open Sans"/>
          <w:color w:val="595959"/>
          <w:sz w:val="21"/>
          <w:szCs w:val="21"/>
        </w:rPr>
        <w:t>Sexualstrafrech</w:t>
      </w:r>
      <w:r>
        <w:rPr>
          <w:rFonts w:ascii="Open Sans" w:eastAsia="Open Sans" w:hAnsi="Open Sans" w:cs="Open Sans"/>
          <w:color w:val="595959"/>
          <w:sz w:val="21"/>
          <w:szCs w:val="21"/>
        </w:rPr>
        <w:t>t</w:t>
      </w:r>
    </w:p>
    <w:p w14:paraId="6DC70D73" w14:textId="77777777" w:rsidR="00AF6CFD" w:rsidRDefault="009D3F81">
      <w:pPr>
        <w:numPr>
          <w:ilvl w:val="0"/>
          <w:numId w:val="1"/>
        </w:numPr>
        <w:spacing w:after="180"/>
        <w:ind w:left="945"/>
      </w:pPr>
      <w:r>
        <w:rPr>
          <w:rFonts w:ascii="Open Sans" w:eastAsia="Open Sans" w:hAnsi="Open Sans" w:cs="Open Sans"/>
          <w:color w:val="595959"/>
          <w:sz w:val="21"/>
          <w:szCs w:val="21"/>
        </w:rPr>
        <w:t xml:space="preserve">Verkehrsstrafrecht </w:t>
      </w:r>
    </w:p>
    <w:sectPr w:rsidR="00AF6CFD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6FAB"/>
    <w:multiLevelType w:val="multilevel"/>
    <w:tmpl w:val="93F0E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FF6A93"/>
    <w:multiLevelType w:val="multilevel"/>
    <w:tmpl w:val="9DCE5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9665BC9"/>
    <w:multiLevelType w:val="multilevel"/>
    <w:tmpl w:val="E9FAB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322D93"/>
    <w:multiLevelType w:val="multilevel"/>
    <w:tmpl w:val="315CE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FD"/>
    <w:rsid w:val="009D3F81"/>
    <w:rsid w:val="00A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0D4D"/>
  <w15:docId w15:val="{0343BA50-D054-49C3-91DA-50FF8296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nzlei-andrae.de/familienrecht/unterhalt/" TargetMode="External"/><Relationship Id="rId5" Type="http://schemas.openxmlformats.org/officeDocument/2006/relationships/hyperlink" Target="https://www.kanzlei-andrae.de/familienrecht/scheidu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Burger, Clemens</cp:lastModifiedBy>
  <cp:revision>2</cp:revision>
  <dcterms:created xsi:type="dcterms:W3CDTF">2021-12-22T10:33:00Z</dcterms:created>
  <dcterms:modified xsi:type="dcterms:W3CDTF">2021-12-22T10:34:00Z</dcterms:modified>
</cp:coreProperties>
</file>