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1E40"/>
        </w:rPr>
        <w:t xml:space="preserve">PSLE Science: Year-by-Year Topic Marks</w:t>
      </w:r>
    </w:p>
    <w:p>
      <w:r>
        <w:rPr>
          <w:i/>
          <w:iCs/>
          <w:color w:val="555555"/>
          <w:sz w:val="22"/>
          <w:szCs w:val="22"/>
        </w:rPr>
        <w:t xml:space="preserve">Per-year breakdown of marks per topic across 2016-2025. The 2022-2024 column shows the aggregated bucket total; the next column (2022-24/yr) divides by 3 for a per-year-equivalent estimate. Topics sorted descending by 2021-2025 combined total.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Trend chart — top 6 topics by 2021-2025 total</w:t>
      </w:r>
    </w:p>
    <w:p>
      <w:r>
        <w:rPr>
          <w:sz w:val="22"/>
          <w:szCs w:val="22"/>
        </w:rPr>
        <w:t xml:space="preserve">Lines plot marks per year. The 2022-2024 bucket is plotted at 2023 (midpoint) using marks/3 so the bucket sits on a per-year scale with the individual papers. The shaded band marks the 2022-2024 window.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43600" cy="30378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Year-by-year matrix</w:t>
      </w:r>
    </w:p>
    <w:p>
      <w:r>
        <w:rPr>
          <w:sz w:val="22"/>
          <w:szCs w:val="22"/>
        </w:rPr>
        <w:t xml:space="preserve">Marks per topic per year (raw). 2022-24 column = combined bucket total across the 4 sub-buckets (Life Sci MCQ + Life Sci OEQ + Physical Sci MCQ + Physical Sci OEQ). 2022-24/yr = bucket ÷ 3 for per-year-equivalent.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2016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2017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2018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2019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2020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2021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2022-24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2025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2022-24 / yr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2021-25 total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 of forces (Friction / Gravity / Magnets)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14.3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67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13.0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50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10.3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45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9.7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40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7.7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39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6.0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32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5.3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32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4.7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31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4.3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28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6.0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27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4.3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24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3.3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21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3.3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17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2.7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16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2.0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14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2.0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12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color w:val="006C49"/>
                <w:sz w:val="18"/>
                <w:szCs w:val="18"/>
              </w:rPr>
              <w:t xml:space="preserve">0.0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1E40"/>
                <w:sz w:val="18"/>
                <w:szCs w:val="18"/>
              </w:rPr>
              <w:t xml:space="preserve">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Observations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Interactions within the environment: peaked sharply in 2018 (24) and 2019 (32), collapsed in 2020-2021 (6 and 4), rebounded in the 2022-2024 bucket (~13/yr), then back down to 7 in 2025.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Interaction of forces (combined): consistently 6-15 marks/year across the whole window — steadiest of the big topics. Note the 20-mark spike in 2021.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Electrical system and circuits: gradual climb across the window — 7 (2016) → 9 (2020-21 each) → ~10/yr in 2022-24 → 9 (2025).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Heat energy: low base (5-9 marks) through 2018-2021, then jumped to ~10/yr in 2022-2024 and held at 8 in 2025.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Life cycles in plants and animals: doubled from ~4-8 marks/year through 2020 to ~5/yr in 2022-2024 to 8 in 2025.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Magnets: cleared a 7-mark band in 2017-2019, then halved in 2020-2021 and stays low (~3/yr) in the recent bucket. The trajectory looks like a deliberate de-emphasis.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Reproducibility</w:t>
      </w:r>
    </w:p>
    <w:p>
      <w:r>
        <w:rPr>
          <w:sz w:val="22"/>
          <w:szCs w:val="22"/>
        </w:rPr>
        <w:t xml:space="preserve">Run:  npx tsx scripts/_psle-science-year-matrix.ts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79560d634b583c5dbae26a425263f5f5a62c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PSLE Science Year-by-Year Topic Marks</dc:title>
  <dc:creator>MarkForYou analysis pipeline</dc:creator>
  <cp:lastModifiedBy>Un-named</cp:lastModifiedBy>
  <cp:revision>1</cp:revision>
  <dcterms:created xsi:type="dcterms:W3CDTF">2026-06-01T15:37:14.002Z</dcterms:created>
  <dcterms:modified xsi:type="dcterms:W3CDTF">2026-06-01T15:37:14.004Z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