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r>
        <w:rPr>
          <w:rtl w:val="0"/>
          <w:lang w:val="de-DE"/>
        </w:rPr>
        <w:t xml:space="preserve">Northwestern MSDS-498 Artificial </w:t>
      </w:r>
    </w:p>
    <w:p>
      <w:pPr>
        <w:pStyle w:val="Body"/>
        <w:jc w:val="center"/>
      </w:pPr>
      <w:r>
        <w:rPr>
          <w:rtl w:val="0"/>
          <w:lang w:val="en-US"/>
        </w:rPr>
        <w:t>Model #101: Credit Card Default Model</w:t>
      </w:r>
    </w:p>
    <w:p>
      <w:pPr>
        <w:pStyle w:val="Body"/>
        <w:jc w:val="center"/>
      </w:pPr>
      <w:r>
        <w:rPr>
          <w:rtl w:val="0"/>
          <w:lang w:val="en-US"/>
        </w:rPr>
        <w:t>Model Development Guide</w:t>
      </w:r>
    </w:p>
    <w:p>
      <w:pPr>
        <w:pStyle w:val="Body"/>
        <w:jc w:val="center"/>
      </w:pPr>
    </w:p>
    <w:p>
      <w:pPr>
        <w:pStyle w:val="Body"/>
        <w:jc w:val="center"/>
      </w:pPr>
    </w:p>
    <w:p>
      <w:pPr>
        <w:pStyle w:val="Body"/>
        <w:jc w:val="center"/>
      </w:pPr>
    </w:p>
    <w:p>
      <w:pPr>
        <w:pStyle w:val="Body"/>
        <w:jc w:val="center"/>
      </w:pPr>
      <w:r>
        <w:rPr>
          <w:rtl w:val="0"/>
          <w:lang w:val="en-US"/>
        </w:rPr>
        <w:t>Andrew Stevens</w:t>
      </w:r>
    </w:p>
    <w:p>
      <w:pPr>
        <w:pStyle w:val="Body"/>
        <w:jc w:val="center"/>
      </w:pPr>
      <w:r>
        <w:rPr>
          <w:rtl w:val="0"/>
          <w:lang w:val="en-US"/>
        </w:rPr>
        <w:t>September 1</w:t>
      </w:r>
      <w:r>
        <w:rPr>
          <w:rtl w:val="0"/>
        </w:rPr>
        <w:t>, 2022</w:t>
      </w:r>
    </w:p>
    <w:p>
      <w:pPr>
        <w:pStyle w:val="Body"/>
        <w:spacing w:line="259" w:lineRule="auto"/>
        <w:ind w:firstLine="0"/>
      </w:pPr>
      <w:r>
        <w:rPr>
          <w:rFonts w:ascii="Arial Unicode MS" w:cs="Arial Unicode MS" w:hAnsi="Arial Unicode MS" w:eastAsia="Arial Unicode MS"/>
          <w:b w:val="0"/>
          <w:bCs w:val="0"/>
          <w:i w:val="0"/>
          <w:iCs w:val="0"/>
        </w:rPr>
        <w:br w:type="page"/>
      </w:r>
    </w:p>
    <w:p>
      <w:pPr>
        <w:pStyle w:val="Body"/>
      </w:pPr>
    </w:p>
    <w:p>
      <w:pPr>
        <w:pStyle w:val="Heading"/>
        <w:numPr>
          <w:ilvl w:val="0"/>
          <w:numId w:val="2"/>
        </w:numPr>
      </w:pPr>
      <w:r>
        <w:rPr>
          <w:rtl w:val="0"/>
          <w:lang w:val="fr-FR"/>
        </w:rPr>
        <w:t>Introduction</w:t>
      </w:r>
    </w:p>
    <w:p>
      <w:pPr>
        <w:pStyle w:val="Body"/>
      </w:pPr>
      <w:r>
        <w:rPr>
          <w:rtl w:val="0"/>
        </w:rPr>
        <w:t xml:space="preserve">. </w:t>
      </w:r>
    </w:p>
    <w:p>
      <w:pPr>
        <w:pStyle w:val="Heading"/>
        <w:numPr>
          <w:ilvl w:val="0"/>
          <w:numId w:val="2"/>
        </w:numPr>
      </w:pPr>
      <w:r>
        <w:rPr>
          <w:rtl w:val="0"/>
          <w:lang w:val="en-US"/>
        </w:rPr>
        <w:t>The Data</w:t>
      </w:r>
    </w:p>
    <w:p>
      <w:pPr>
        <w:pStyle w:val="Body"/>
      </w:pPr>
      <w:r>
        <w:rPr>
          <w:rtl w:val="0"/>
        </w:rPr>
        <w:t>U</w:t>
      </w:r>
      <w:r>
        <w:rPr>
          <w:rtl w:val="0"/>
          <w:lang w:val="en-US"/>
        </w:rPr>
        <w:t xml:space="preserve">niversity of California Irvine hosts a </w:t>
      </w:r>
      <w:r>
        <w:rPr>
          <w:rtl w:val="0"/>
          <w:lang w:val="en-US"/>
        </w:rPr>
        <w:t>Machine Learning Repository</w:t>
      </w:r>
      <w:r>
        <w:rPr>
          <w:rtl w:val="0"/>
          <w:lang w:val="en-US"/>
        </w:rPr>
        <w:t xml:space="preserve"> </w:t>
      </w:r>
      <w:r>
        <w:rPr>
          <w:rtl w:val="0"/>
          <w:lang w:val="pt-PT"/>
        </w:rPr>
        <w:t>(Dua</w:t>
      </w:r>
      <w:r>
        <w:rPr>
          <w:rtl w:val="0"/>
          <w:lang w:val="en-US"/>
        </w:rPr>
        <w:t xml:space="preserve"> </w:t>
      </w:r>
      <w:r>
        <w:rPr>
          <w:rtl w:val="0"/>
          <w:lang w:val="de-DE"/>
        </w:rPr>
        <w:t>and Graff</w:t>
      </w:r>
      <w:r>
        <w:rPr>
          <w:rtl w:val="0"/>
          <w:lang w:val="en-US"/>
        </w:rPr>
        <w:t xml:space="preserve"> </w:t>
      </w:r>
      <w:r>
        <w:rPr>
          <w:rtl w:val="0"/>
        </w:rPr>
        <w:t>2019)</w:t>
      </w:r>
      <w:r>
        <w:rPr>
          <w:rtl w:val="0"/>
          <w:lang w:val="en-US"/>
        </w:rPr>
        <w:t xml:space="preserve"> which includes the </w:t>
      </w:r>
      <w:r>
        <w:rPr>
          <w:rtl w:val="0"/>
          <w:lang w:val="en-US"/>
        </w:rPr>
        <w:t>default of credit card clients</w:t>
      </w:r>
      <w:r>
        <w:rPr>
          <w:rtl w:val="0"/>
          <w:lang w:val="en-US"/>
        </w:rPr>
        <w:t xml:space="preserve"> in Taiwan prepared to compare the predictive abilities of selected data mining methods</w:t>
      </w:r>
      <w:r>
        <w:rPr>
          <w:rtl w:val="0"/>
          <w:lang w:val="en-US"/>
        </w:rPr>
        <w:t xml:space="preserve"> (Dua and Graff 2019)</w:t>
      </w:r>
      <w:r>
        <w:rPr>
          <w:rtl w:val="0"/>
          <w:lang w:val="en-US"/>
        </w:rPr>
        <w:t>. The response variable of the dataset is a binary indicator for whether a customer defaulted on their credit card debt. Delinquency is defined as missing a single payment due date, while default is not making a specific number of consecutive payments (Cagan 2020). Entering default involves collections actions and likely losses for the creditor, so a company would seek customers unlikely to default.</w:t>
      </w:r>
    </w:p>
    <w:p>
      <w:pPr>
        <w:pStyle w:val="Body"/>
      </w:pPr>
      <w:r>
        <w:rPr>
          <w:rtl w:val="0"/>
          <w:lang w:val="en-US"/>
        </w:rPr>
        <w:t>The predictor variables included in the dataset can be divided into two categories about the customer: demographic attributes and billing/payment history. The demographic attributes are comprised of SEX, EDUCATION, MARRIAGE, and AGE. The billing/payment history variables comprise six months of history including repayment status, billing amount, and payment amount. The dataset was checked for empty values, and zero percent nullity was reported across all fields.</w:t>
      </w:r>
    </w:p>
    <w:p>
      <w:pPr>
        <w:pStyle w:val="Body"/>
      </w:pPr>
    </w:p>
    <w:p>
      <w:pPr>
        <w:pStyle w:val="Heading"/>
        <w:numPr>
          <w:ilvl w:val="0"/>
          <w:numId w:val="2"/>
        </w:numPr>
      </w:pPr>
      <w:r>
        <w:rPr>
          <w:rtl w:val="0"/>
          <w:lang w:val="en-US"/>
        </w:rPr>
        <w:t>Feature Engineering</w:t>
      </w:r>
    </w:p>
    <w:p>
      <w:pPr>
        <w:pStyle w:val="Body"/>
        <w:rPr>
          <w:vertAlign w:val="subscript"/>
        </w:rPr>
      </w:pPr>
      <w:r>
        <w:rPr>
          <w:rtl w:val="0"/>
        </w:rPr>
        <w:t>Models.</w:t>
      </w:r>
    </w:p>
    <w:p>
      <w:pPr>
        <w:pStyle w:val="Heading"/>
        <w:numPr>
          <w:ilvl w:val="0"/>
          <w:numId w:val="2"/>
        </w:numPr>
      </w:pPr>
      <w:r>
        <w:rPr>
          <w:rtl w:val="0"/>
          <w:lang w:val="en-US"/>
        </w:rPr>
        <w:t xml:space="preserve"> Exploratory Data Analysis </w:t>
      </w:r>
    </w:p>
    <w:p>
      <w:pPr>
        <w:pStyle w:val="Body"/>
      </w:pPr>
      <w:r>
        <w:rPr>
          <w:rtl w:val="0"/>
          <w:lang w:val="pt-PT"/>
        </w:rPr>
        <w:t>algorithms.</w:t>
      </w:r>
    </w:p>
    <w:p>
      <w:pPr>
        <w:pStyle w:val="Heading"/>
        <w:numPr>
          <w:ilvl w:val="0"/>
          <w:numId w:val="2"/>
        </w:numPr>
      </w:pPr>
      <w:r>
        <w:rPr>
          <w:rtl w:val="0"/>
          <w:lang w:val="en-US"/>
        </w:rPr>
        <w:t>Predictive Modeling: Methods and Results</w:t>
      </w:r>
    </w:p>
    <w:p>
      <w:pPr>
        <w:pStyle w:val="Body"/>
      </w:pPr>
      <w:r>
        <w:rPr>
          <w:rtl w:val="0"/>
          <w:lang w:val="en-US"/>
        </w:rPr>
        <w:t xml:space="preserve">In the </w:t>
      </w:r>
    </w:p>
    <w:p>
      <w:pPr>
        <w:pStyle w:val="Body"/>
      </w:pPr>
      <w:r>
        <w:rPr>
          <w:rtl w:val="0"/>
          <w:lang w:val="en-US"/>
        </w:rPr>
        <w:t>results.</w:t>
      </w:r>
    </w:p>
    <w:p>
      <w:pPr>
        <w:pStyle w:val="Heading"/>
        <w:numPr>
          <w:ilvl w:val="0"/>
          <w:numId w:val="2"/>
        </w:numPr>
      </w:pPr>
      <w:r>
        <w:rPr>
          <w:rtl w:val="0"/>
          <w:lang w:val="en-US"/>
        </w:rPr>
        <w:t>Comparison of Results</w:t>
      </w:r>
    </w:p>
    <w:p>
      <w:pPr>
        <w:pStyle w:val="Body"/>
      </w:pPr>
      <w:r>
        <w:rPr>
          <w:rtl w:val="0"/>
          <w:lang w:val="da-DK"/>
        </w:rPr>
        <w:t>adsfasdf</w:t>
      </w:r>
    </w:p>
    <w:p>
      <w:pPr>
        <w:pStyle w:val="Heading"/>
        <w:numPr>
          <w:ilvl w:val="0"/>
          <w:numId w:val="2"/>
        </w:numPr>
      </w:pPr>
      <w:r>
        <w:rPr>
          <w:rtl w:val="0"/>
          <w:lang w:val="fr-FR"/>
        </w:rPr>
        <w:t>Conclusions</w:t>
      </w:r>
    </w:p>
    <w:p>
      <w:pPr>
        <w:pStyle w:val="Body"/>
      </w:pPr>
      <w:r>
        <w:rPr>
          <w:rtl w:val="0"/>
        </w:rPr>
        <w:t>score.</w:t>
      </w:r>
      <w:r>
        <w:rPr>
          <w:rFonts w:ascii="Arial Unicode MS" w:cs="Arial Unicode MS" w:hAnsi="Arial Unicode MS" w:eastAsia="Arial Unicode MS"/>
          <w:b w:val="0"/>
          <w:bCs w:val="0"/>
          <w:i w:val="0"/>
          <w:iCs w:val="0"/>
        </w:rPr>
        <w:br w:type="page"/>
      </w:r>
    </w:p>
    <w:p>
      <w:pPr>
        <w:pStyle w:val="Body"/>
      </w:pPr>
    </w:p>
    <w:p>
      <w:pPr>
        <w:pStyle w:val="Heading"/>
        <w:numPr>
          <w:ilvl w:val="0"/>
          <w:numId w:val="2"/>
        </w:numPr>
      </w:pPr>
      <w:r>
        <w:rPr>
          <w:rtl w:val="0"/>
          <w:lang w:val="fr-FR"/>
        </w:rPr>
        <w:t>Bibliography</w:t>
      </w:r>
    </w:p>
    <w:p>
      <w:pPr>
        <w:pStyle w:val="List Paragraph"/>
        <w:numPr>
          <w:ilvl w:val="0"/>
          <w:numId w:val="4"/>
        </w:numPr>
        <w:rPr>
          <w:lang w:val="en-US"/>
        </w:rPr>
      </w:pPr>
      <w:r>
        <w:rPr>
          <w:rtl w:val="0"/>
          <w:lang w:val="en-US"/>
        </w:rPr>
        <w:t>Dua, D. and Graff, C. (2019). UCI Machine Learning Repository [http://archive.ics.uci.edu/ml]. Irvine, CA: University of California, School of Information and Computer Science.</w:t>
      </w:r>
    </w:p>
    <w:p>
      <w:pPr>
        <w:pStyle w:val="List Paragraph"/>
        <w:numPr>
          <w:ilvl w:val="0"/>
          <w:numId w:val="4"/>
        </w:numPr>
        <w:rPr>
          <w:lang w:val="en-US"/>
        </w:rPr>
      </w:pPr>
      <w:r>
        <w:rPr>
          <w:rtl w:val="0"/>
          <w:lang w:val="en-US"/>
        </w:rPr>
        <w:t xml:space="preserve">Yeh, I. C., </w:t>
      </w:r>
      <w:r>
        <w:rPr>
          <w:rtl w:val="0"/>
          <w:lang w:val="en-US"/>
        </w:rPr>
        <w:t>and</w:t>
      </w:r>
      <w:r>
        <w:rPr>
          <w:rtl w:val="0"/>
          <w:lang w:val="en-US"/>
        </w:rPr>
        <w:t xml:space="preserve"> Lien, C. H. (2009). The comparisons of data mining techniques for the predictive accuracy of probability of default of credit card clients. Expert Systems with Applications, 36(2), 2473-2480.</w:t>
      </w:r>
    </w:p>
    <w:p>
      <w:pPr>
        <w:pStyle w:val="List Paragraph"/>
        <w:numPr>
          <w:ilvl w:val="0"/>
          <w:numId w:val="4"/>
        </w:numPr>
        <w:rPr>
          <w:lang w:val="en-US"/>
        </w:rPr>
      </w:pPr>
      <w:r>
        <w:rPr>
          <w:rtl w:val="0"/>
          <w:lang w:val="en-US"/>
        </w:rPr>
        <w:t>Cagan, Michele. Debt 101: From Interest Rates and Credit Scores to Student Loans and Debt Payoff Strategies, an Essential Primer on Managing Debt. First Adams Media hardcover edition, Adams Media, 2020.</w:t>
      </w:r>
    </w:p>
    <w:p>
      <w:pPr>
        <w:pStyle w:val="List Paragraph"/>
        <w:numPr>
          <w:ilvl w:val="0"/>
          <w:numId w:val="4"/>
        </w:numPr>
        <w:rPr>
          <w:lang w:val="en-US"/>
        </w:rPr>
      </w:pPr>
      <w:r>
        <w:rPr>
          <w:rtl w:val="0"/>
          <w:lang w:val="en-US"/>
        </w:rPr>
        <w:t xml:space="preserve">Liu, and </w:t>
      </w:r>
    </w:p>
    <w:p>
      <w:pPr>
        <w:pStyle w:val="Body"/>
      </w:pPr>
    </w:p>
    <w:p>
      <w:pPr>
        <w:pStyle w:val="Body"/>
      </w:pPr>
    </w:p>
    <w:p>
      <w:pPr>
        <w:pStyle w:val="Body"/>
        <w:spacing w:line="259" w:lineRule="auto"/>
        <w:ind w:firstLine="0"/>
      </w:pPr>
      <w:r>
        <w:rPr>
          <w:rFonts w:ascii="Arial Unicode MS" w:cs="Arial Unicode MS" w:hAnsi="Arial Unicode MS" w:eastAsia="Arial Unicode MS"/>
          <w:b w:val="0"/>
          <w:bCs w:val="0"/>
          <w:i w:val="0"/>
          <w:iCs w:val="0"/>
        </w:rPr>
        <w:br w:type="page"/>
      </w:r>
    </w:p>
    <w:p>
      <w:pPr>
        <w:pStyle w:val="Heading"/>
        <w:numPr>
          <w:ilvl w:val="0"/>
          <w:numId w:val="5"/>
        </w:numPr>
      </w:pPr>
      <w:r>
        <w:rPr>
          <w:rtl w:val="0"/>
          <w:lang w:val="da-DK"/>
        </w:rPr>
        <w:t>Appendix A: Data Dictionary</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32" w:hanging="17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6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17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32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040" w:hanging="17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160"/>
        </w:tabs>
        <w:ind w:left="1440" w:firstLine="42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80"/>
        </w:tabs>
        <w:ind w:left="2160" w:firstLine="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600"/>
        </w:tabs>
        <w:ind w:left="2880" w:firstLine="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320"/>
        </w:tabs>
        <w:ind w:left="3600" w:firstLine="42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40"/>
        </w:tabs>
        <w:ind w:left="4320" w:firstLine="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760"/>
        </w:tabs>
        <w:ind w:left="5040" w:firstLine="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480"/>
        </w:tabs>
        <w:ind w:left="5760" w:firstLine="42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9"/>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480" w:lineRule="auto"/>
      <w:ind w:left="0" w:right="0" w:firstLine="72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0" w:after="160" w:line="48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480" w:lineRule="auto"/>
      <w:ind w:left="720" w:right="0" w:firstLine="72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