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Comparative Analysis of Robot Framework and Karate Framework</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Karate and Robot Framework are both open source test automation frameworks that are used for automating web and API testing. This report will mainly focus on the ability of these frameworks to adapt to changing system architecture.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Feature Comparison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Robot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Gherkin like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Domain specific keyword-driven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 libraries can be integrated easily, no plugins required to run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 libraries can be integrated easily, requires the robotframework-maven-plugin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Readable and concise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Readable if keywords naming is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Built-in feature for making HTTP requests with authorization (similar to rest assured)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external libraries like RequestLibrary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Handling JSON,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Built-in support for JSON and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external libraries for handling JSON and XML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Parallel execution of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A core feature and can be easily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Isn’t available in the robotframework-maven-plugin</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