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20</w:t>
      </w:r>
      <w:r w:rsidRPr="00327931">
        <w:rPr>
          <w:lang w:bidi="ru-RU"/>
        </w:rPr>
        <w:t>»</w:t>
      </w:r>
      <w:r w:rsidR="00BD22CE" w:rsidRPr="00BD22CE">
        <w:rPr>
          <w:lang w:bidi="ru-RU"/>
        </w:rPr>
        <w:t xml:space="preserve"> </w:t>
      </w:r>
      <w:r w:rsidR="00BA0D8E" w:rsidRPr="00BA0D8E">
        <w:rPr>
          <w:lang w:bidi="ru-RU"/>
        </w:rPr>
        <w:t xml:space="preserve">ноября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0x7fd55764a100&gt;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