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2A8B1" w14:textId="77777777" w:rsidR="00891E00" w:rsidRDefault="00891E00" w:rsidP="00891E00">
      <w:pPr>
        <w:pStyle w:val="font-claude-response-body"/>
      </w:pPr>
      <w:r>
        <w:rPr>
          <w:rStyle w:val="Strong"/>
        </w:rPr>
        <w:t>Open Horizon</w:t>
      </w:r>
    </w:p>
    <w:p w14:paraId="7ABE6823" w14:textId="77777777" w:rsidR="00891E00" w:rsidRDefault="00891E00" w:rsidP="00891E00">
      <w:pPr>
        <w:pStyle w:val="font-claude-response-body"/>
      </w:pPr>
      <w:r>
        <w:t xml:space="preserve">Open Horizon is a porcelain tile collection of extraordinary spatial generosity, </w:t>
      </w:r>
      <w:proofErr w:type="spellStart"/>
      <w:r>
        <w:t>breathtaking</w:t>
      </w:r>
      <w:proofErr w:type="spellEnd"/>
      <w:r>
        <w:t xml:space="preserve"> luminous expansiveness, and the kind of profoundly liberating design quality that only the most carefully conceived, most technically accomplished, and most philosophically considered of all large-format tile collections are capable of delivering — the quality of making a space feel genuinely, physically, and measurably larger than it actually is, of dissolving the visual boundaries of walls and floors into seamless, continuous planes of light and colour that extend the perceived dimensions of a room far beyond its actual architectural limits, and of creating, through the intelligent deployment of format, finish, colour, and the precise, uninterrupted continuity of installation, an interior atmosphere of such openness, such spatial freedom, and such luminous, breathing expansiveness that the people who inhabit the space feel, at a level below conscious thought and beyond the reach of purely rational analysis, genuinely and sustainably liberated from the sense of enclosure, compression, and spatial limitation that inadequate surface specification so frequently and so unnecessarily imposes upon interior environments that are physically capable of so much more. Named for the most powerful and most universally affecting of all natural spatial experiences — the experience of standing before an open horizon, whether across the flat, infinite surface of a calm ocean, the vast, uninterrupted sweep of an open plain, or the wide, sky-dominated landscape of a high mountain plateau, where the boundary between earth and sky seems to dissolve and the sense of spatial freedom, of the unlimited extension of the visible world in every direction, produces a quality of emotional and perceptual liberation that is among the most deeply pleasurable and most profoundly restorative experiences available to human beings in the natural world — Open Horizon aspires to bring something of this extraordinary spatial quality into the built environment and to sustain it there, permanently and beautifully, through the medium of exceptional large-format porcelain tile design.</w:t>
      </w:r>
    </w:p>
    <w:p w14:paraId="75ADFEBF" w14:textId="77777777" w:rsidR="00891E00" w:rsidRDefault="00891E00" w:rsidP="00891E00">
      <w:pPr>
        <w:pStyle w:val="font-claude-response-body"/>
      </w:pPr>
      <w:r>
        <w:t>The format philosophy of Open Horizon is built upon a clear and deeply considered understanding of the precise mechanisms by which tile format affects the perceived spatial character of an interior — mechanisms that are grounded in the fundamental principles of human visual perception and that have been explored, tested, and refined through decades of architectural and interior design practice, but that are rarely articulated with the clarity and precision that their importance to the quality of the designed environment deserves. The most fundamental of these mechanisms is the relationship between grout line density and perceived spatial continuity — the understanding that the more grout lines a tiled surface contains per square metre, the more visually fragmented and visually bounded that surface appears to the human eye, which instinctively reads each grout line as a visual interruption, a boundary, a limit upon the continuity of the surface plane, and that therefore reads a densely jointed tiled surface as a collection of small, bounded units rather than as a single, continuous spatial plane. Conversely, the fewer the grout lines — the larger the tile format and the narrower the joint — the more completely the eye reads the tiled surface as a single, uninterrupted plane of colour and light, and the more powerfully the space reads as open, continuous, and spatially generous. Open Horizon takes this principle to its logical and most complete conclusion, offering formats of exceptional scale — from the already impressive 48"×48" through the sweeping 48"×96" to the spectacular 60"×120" large-format slab — installed with the narrowest possible grout joints of one to two millimetres, creating floor and wall surfaces of such seamless, uninterrupted visual continuity that the eye, finding no joint lines to interrupt its reading of the surface as a single spatial plane, perceives the room as significantly larger, more open, and more spatially generous than its physical dimensions would suggest.</w:t>
      </w:r>
    </w:p>
    <w:p w14:paraId="52274475" w14:textId="77777777" w:rsidR="003D7FA2" w:rsidRDefault="003D7FA2"/>
    <w:sectPr w:rsidR="003D7F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E00"/>
    <w:rsid w:val="003D7FA2"/>
    <w:rsid w:val="00891E0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F75D"/>
  <w15:chartTrackingRefBased/>
  <w15:docId w15:val="{02637A5B-FA95-4874-905F-A6AB669E4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891E0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91E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9028478">
      <w:bodyDiv w:val="1"/>
      <w:marLeft w:val="0"/>
      <w:marRight w:val="0"/>
      <w:marTop w:val="0"/>
      <w:marBottom w:val="0"/>
      <w:divBdr>
        <w:top w:val="none" w:sz="0" w:space="0" w:color="auto"/>
        <w:left w:val="none" w:sz="0" w:space="0" w:color="auto"/>
        <w:bottom w:val="none" w:sz="0" w:space="0" w:color="auto"/>
        <w:right w:val="none" w:sz="0" w:space="0" w:color="auto"/>
      </w:divBdr>
      <w:divsChild>
        <w:div w:id="1235774466">
          <w:marLeft w:val="0"/>
          <w:marRight w:val="0"/>
          <w:marTop w:val="0"/>
          <w:marBottom w:val="0"/>
          <w:divBdr>
            <w:top w:val="single" w:sz="2" w:space="0" w:color="DEDCD1"/>
            <w:left w:val="single" w:sz="2" w:space="0" w:color="DEDCD1"/>
            <w:bottom w:val="single" w:sz="2" w:space="0" w:color="DEDCD1"/>
            <w:right w:val="single" w:sz="2" w:space="0" w:color="DEDCD1"/>
          </w:divBdr>
          <w:divsChild>
            <w:div w:id="1998727980">
              <w:marLeft w:val="0"/>
              <w:marRight w:val="0"/>
              <w:marTop w:val="0"/>
              <w:marBottom w:val="0"/>
              <w:divBdr>
                <w:top w:val="single" w:sz="2" w:space="0" w:color="DEDCD1"/>
                <w:left w:val="single" w:sz="2" w:space="0" w:color="DEDCD1"/>
                <w:bottom w:val="single" w:sz="2" w:space="0" w:color="DEDCD1"/>
                <w:right w:val="single" w:sz="2" w:space="0" w:color="DEDCD1"/>
              </w:divBdr>
              <w:divsChild>
                <w:div w:id="2128348497">
                  <w:marLeft w:val="0"/>
                  <w:marRight w:val="0"/>
                  <w:marTop w:val="0"/>
                  <w:marBottom w:val="0"/>
                  <w:divBdr>
                    <w:top w:val="single" w:sz="2" w:space="0" w:color="DEDCD1"/>
                    <w:left w:val="single" w:sz="2" w:space="0" w:color="DEDCD1"/>
                    <w:bottom w:val="single" w:sz="2" w:space="0" w:color="DEDCD1"/>
                    <w:right w:val="single" w:sz="2" w:space="0" w:color="DEDCD1"/>
                  </w:divBdr>
                  <w:divsChild>
                    <w:div w:id="1493718642">
                      <w:marLeft w:val="0"/>
                      <w:marRight w:val="0"/>
                      <w:marTop w:val="0"/>
                      <w:marBottom w:val="0"/>
                      <w:divBdr>
                        <w:top w:val="single" w:sz="2" w:space="0" w:color="DEDCD1"/>
                        <w:left w:val="single" w:sz="2" w:space="0" w:color="DEDCD1"/>
                        <w:bottom w:val="single" w:sz="2" w:space="0" w:color="DEDCD1"/>
                        <w:right w:val="single" w:sz="2" w:space="0" w:color="DEDCD1"/>
                      </w:divBdr>
                      <w:divsChild>
                        <w:div w:id="1511023271">
                          <w:marLeft w:val="0"/>
                          <w:marRight w:val="0"/>
                          <w:marTop w:val="0"/>
                          <w:marBottom w:val="0"/>
                          <w:divBdr>
                            <w:top w:val="single" w:sz="2" w:space="0" w:color="DEDCD1"/>
                            <w:left w:val="single" w:sz="2" w:space="0" w:color="DEDCD1"/>
                            <w:bottom w:val="single" w:sz="2" w:space="0" w:color="DEDCD1"/>
                            <w:right w:val="single" w:sz="2" w:space="0" w:color="DEDCD1"/>
                          </w:divBdr>
                          <w:divsChild>
                            <w:div w:id="150682676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470757798">
          <w:marLeft w:val="0"/>
          <w:marRight w:val="0"/>
          <w:marTop w:val="0"/>
          <w:marBottom w:val="0"/>
          <w:divBdr>
            <w:top w:val="single" w:sz="2" w:space="0" w:color="DEDCD1"/>
            <w:left w:val="single" w:sz="2" w:space="0" w:color="DEDCD1"/>
            <w:bottom w:val="single" w:sz="2" w:space="0" w:color="DEDCD1"/>
            <w:right w:val="single" w:sz="2" w:space="0" w:color="DEDCD1"/>
          </w:divBdr>
          <w:divsChild>
            <w:div w:id="1047997724">
              <w:marLeft w:val="0"/>
              <w:marRight w:val="0"/>
              <w:marTop w:val="0"/>
              <w:marBottom w:val="0"/>
              <w:divBdr>
                <w:top w:val="single" w:sz="2" w:space="0" w:color="DEDCD1"/>
                <w:left w:val="single" w:sz="2" w:space="0" w:color="DEDCD1"/>
                <w:bottom w:val="single" w:sz="2" w:space="0" w:color="DEDCD1"/>
                <w:right w:val="single" w:sz="2" w:space="0" w:color="DEDCD1"/>
              </w:divBdr>
              <w:divsChild>
                <w:div w:id="1847936020">
                  <w:marLeft w:val="0"/>
                  <w:marRight w:val="0"/>
                  <w:marTop w:val="0"/>
                  <w:marBottom w:val="0"/>
                  <w:divBdr>
                    <w:top w:val="single" w:sz="2" w:space="0" w:color="DEDCD1"/>
                    <w:left w:val="single" w:sz="2" w:space="0" w:color="DEDCD1"/>
                    <w:bottom w:val="single" w:sz="2" w:space="0" w:color="DEDCD1"/>
                    <w:right w:val="single" w:sz="2" w:space="0" w:color="DEDCD1"/>
                  </w:divBdr>
                  <w:divsChild>
                    <w:div w:id="1395852047">
                      <w:marLeft w:val="0"/>
                      <w:marRight w:val="0"/>
                      <w:marTop w:val="0"/>
                      <w:marBottom w:val="0"/>
                      <w:divBdr>
                        <w:top w:val="single" w:sz="2" w:space="0" w:color="DEDCD1"/>
                        <w:left w:val="single" w:sz="2" w:space="0" w:color="DEDCD1"/>
                        <w:bottom w:val="single" w:sz="2" w:space="0" w:color="DEDCD1"/>
                        <w:right w:val="single" w:sz="2" w:space="0" w:color="DEDCD1"/>
                      </w:divBdr>
                      <w:divsChild>
                        <w:div w:id="418524419">
                          <w:marLeft w:val="0"/>
                          <w:marRight w:val="0"/>
                          <w:marTop w:val="0"/>
                          <w:marBottom w:val="0"/>
                          <w:divBdr>
                            <w:top w:val="single" w:sz="2" w:space="0" w:color="DEDCD1"/>
                            <w:left w:val="single" w:sz="2" w:space="0" w:color="DEDCD1"/>
                            <w:bottom w:val="single" w:sz="2" w:space="0" w:color="DEDCD1"/>
                            <w:right w:val="single" w:sz="2" w:space="0" w:color="DEDCD1"/>
                          </w:divBdr>
                          <w:divsChild>
                            <w:div w:id="176622250">
                              <w:marLeft w:val="0"/>
                              <w:marRight w:val="0"/>
                              <w:marTop w:val="0"/>
                              <w:marBottom w:val="0"/>
                              <w:divBdr>
                                <w:top w:val="single" w:sz="2" w:space="0" w:color="DEDCD1"/>
                                <w:left w:val="single" w:sz="2" w:space="0" w:color="DEDCD1"/>
                                <w:bottom w:val="single" w:sz="2" w:space="0" w:color="DEDCD1"/>
                                <w:right w:val="single" w:sz="2" w:space="0" w:color="DEDCD1"/>
                              </w:divBdr>
                              <w:divsChild>
                                <w:div w:id="91004070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 w:id="214488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628</Words>
  <Characters>3583</Characters>
  <Application>Microsoft Office Word</Application>
  <DocSecurity>0</DocSecurity>
  <Lines>29</Lines>
  <Paragraphs>8</Paragraphs>
  <ScaleCrop>false</ScaleCrop>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2026-03-10T14:34:00Z</dcterms:created>
  <dcterms:modified xsi:type="dcterms:W3CDTF">2026-03-10T14:37:00Z</dcterms:modified>
</cp:coreProperties>
</file>