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575F24" w14:textId="77777777" w:rsidR="00D45BEC" w:rsidRDefault="00D45BEC" w:rsidP="00D45BEC">
      <w:pPr>
        <w:pStyle w:val="font-claude-response-body"/>
      </w:pPr>
      <w:r>
        <w:rPr>
          <w:rStyle w:val="Strong"/>
        </w:rPr>
        <w:t>Pearl Mirage</w:t>
      </w:r>
    </w:p>
    <w:p w14:paraId="76E9AB96" w14:textId="77777777" w:rsidR="00D45BEC" w:rsidRDefault="00D45BEC" w:rsidP="00D45BEC">
      <w:pPr>
        <w:pStyle w:val="font-claude-response-body"/>
      </w:pPr>
      <w:r>
        <w:t>Pearl Mirage is a porcelain tile collection of otherworldly luminosity, ethereal tonal beauty, and the kind of deeply captivating visual magic that only the rarest and most technically extraordinary surface materials are capable of producing — the magic of a surface that seems to change its character, its colour, and its very identity in response to the changing quality of light around it, shifting from the palest, most translucent silver-white in the cool, diffused illumination of an overcast morning to a warm, softly iridescent blush-pearl in the golden light of late afternoon, and then to a deeper, more mysterious, more dramatically luminous surface of complex, multi-tonal depth in the warm artificial light of an evening interior — a surface that is never quite the same twice, never quite fully resolved into a single, fixed identity, and that possesses, because of this quality of perpetual, light-responsive transformation, an enduring visual fascination, an endless capacity to surprise and to delight, and a quality of sustained aesthetic pleasure that surfaces of fixed, unchanging character, however beautiful in their own right, are simply unable to provide. The name Pearl Mirage captures both of these essential and complementary qualities with precision — the pearl for the collection's signature palette of soft, warm, iridescent off-whites and blush-tinged creams that reference the extraordinary inner luminosity of the natural pearl, formed over years within the living body of the oyster through the gradual deposition of layer upon layer of aragonite crystals in a matrix of organic conchiolin, each microscopic layer contributing to the depth and the iridescence of the final surface; and the mirage for the collection's defining quality of visual elusiveness, of a beauty that shifts and transforms and refuses to be fully captured or fully fixed, that is always slightly different from what it appeared to be a moment ago and always slightly more beautiful than you quite expected it to be.</w:t>
      </w:r>
    </w:p>
    <w:p w14:paraId="7D688C94" w14:textId="77777777" w:rsidR="00D45BEC" w:rsidRDefault="00D45BEC" w:rsidP="00D45BEC">
      <w:pPr>
        <w:pStyle w:val="font-claude-response-body"/>
      </w:pPr>
      <w:r>
        <w:t>The colour development of Pearl Mirage represents one of the most technically ambitious and most design-demanding achievements in the entire history of the CERA's tile range — the challenge of capturing in a fired porcelain glaze surface the extraordinary optical phenomenon of pearl iridescence, a phenomenon produced in nature by the interference of light waves reflected from the multiple microscopic layers of the nacre surface and resulting in the characteristic shifting, colour-playing luminosity that gives natural pearls their incomparable beauty and their incomparable value. The multi-layer glaze system developed for Pearl Mirage builds up the tile surface through successive applications of specially formulated glaze layers of precisely controlled optical density, each layer contributing a different element to the final surface's complex light-interaction behaviour — the base layers establishing the warm, creamy ground tone of the ivory-pearl palette, the intermediate layers introducing the subtle, barely-there iridescence that shifts between the palest blush pink, the faintest suggestion of lilac, and the most delicate aqueous hint of pale blue-green depending on the angle of observation and the quality of the incident light, and the final surface layers providing the high-gloss reflective quality that amplifies and expresses all of these underlying optical effects with maximum clarity and maximum visual impact. The result is a glaze surface of extraordinary optical complexity — a surface that contains within it more visual information, more tonal variation, and more light-responsive depth than any conventionally printed or single-layer glazed tile surface could ever approach, and that creates, in installation, a spatial experience of warm, shifting, endlessly fascinating luminosity that is genuinely unlike anything else available in the contemporary tile market.</w:t>
      </w:r>
    </w:p>
    <w:p w14:paraId="036EF876" w14:textId="77777777" w:rsidR="00A859ED" w:rsidRDefault="00A859ED"/>
    <w:sectPr w:rsidR="00A859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BEC"/>
    <w:rsid w:val="00A859ED"/>
    <w:rsid w:val="00D45BE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5125A"/>
  <w15:chartTrackingRefBased/>
  <w15:docId w15:val="{4C2F3AE7-B23E-4EAD-BE11-87811D497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D45BE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45B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05586">
      <w:bodyDiv w:val="1"/>
      <w:marLeft w:val="0"/>
      <w:marRight w:val="0"/>
      <w:marTop w:val="0"/>
      <w:marBottom w:val="0"/>
      <w:divBdr>
        <w:top w:val="none" w:sz="0" w:space="0" w:color="auto"/>
        <w:left w:val="none" w:sz="0" w:space="0" w:color="auto"/>
        <w:bottom w:val="none" w:sz="0" w:space="0" w:color="auto"/>
        <w:right w:val="none" w:sz="0" w:space="0" w:color="auto"/>
      </w:divBdr>
    </w:div>
    <w:div w:id="191040528">
      <w:bodyDiv w:val="1"/>
      <w:marLeft w:val="0"/>
      <w:marRight w:val="0"/>
      <w:marTop w:val="0"/>
      <w:marBottom w:val="0"/>
      <w:divBdr>
        <w:top w:val="none" w:sz="0" w:space="0" w:color="auto"/>
        <w:left w:val="none" w:sz="0" w:space="0" w:color="auto"/>
        <w:bottom w:val="none" w:sz="0" w:space="0" w:color="auto"/>
        <w:right w:val="none" w:sz="0" w:space="0" w:color="auto"/>
      </w:divBdr>
      <w:divsChild>
        <w:div w:id="404842011">
          <w:marLeft w:val="0"/>
          <w:marRight w:val="0"/>
          <w:marTop w:val="0"/>
          <w:marBottom w:val="0"/>
          <w:divBdr>
            <w:top w:val="single" w:sz="2" w:space="0" w:color="DEDCD1"/>
            <w:left w:val="single" w:sz="2" w:space="0" w:color="DEDCD1"/>
            <w:bottom w:val="single" w:sz="2" w:space="0" w:color="DEDCD1"/>
            <w:right w:val="single" w:sz="2" w:space="0" w:color="DEDCD1"/>
          </w:divBdr>
          <w:divsChild>
            <w:div w:id="145051707">
              <w:marLeft w:val="0"/>
              <w:marRight w:val="0"/>
              <w:marTop w:val="0"/>
              <w:marBottom w:val="0"/>
              <w:divBdr>
                <w:top w:val="single" w:sz="2" w:space="0" w:color="DEDCD1"/>
                <w:left w:val="single" w:sz="2" w:space="0" w:color="DEDCD1"/>
                <w:bottom w:val="single" w:sz="2" w:space="0" w:color="DEDCD1"/>
                <w:right w:val="single" w:sz="2" w:space="0" w:color="DEDCD1"/>
              </w:divBdr>
              <w:divsChild>
                <w:div w:id="1192720116">
                  <w:marLeft w:val="0"/>
                  <w:marRight w:val="0"/>
                  <w:marTop w:val="0"/>
                  <w:marBottom w:val="0"/>
                  <w:divBdr>
                    <w:top w:val="single" w:sz="2" w:space="0" w:color="DEDCD1"/>
                    <w:left w:val="single" w:sz="2" w:space="0" w:color="DEDCD1"/>
                    <w:bottom w:val="single" w:sz="2" w:space="0" w:color="DEDCD1"/>
                    <w:right w:val="single" w:sz="2" w:space="0" w:color="DEDCD1"/>
                  </w:divBdr>
                  <w:divsChild>
                    <w:div w:id="691880166">
                      <w:marLeft w:val="0"/>
                      <w:marRight w:val="0"/>
                      <w:marTop w:val="0"/>
                      <w:marBottom w:val="0"/>
                      <w:divBdr>
                        <w:top w:val="single" w:sz="2" w:space="0" w:color="DEDCD1"/>
                        <w:left w:val="single" w:sz="2" w:space="0" w:color="DEDCD1"/>
                        <w:bottom w:val="single" w:sz="2" w:space="0" w:color="DEDCD1"/>
                        <w:right w:val="single" w:sz="2" w:space="0" w:color="DEDCD1"/>
                      </w:divBdr>
                      <w:divsChild>
                        <w:div w:id="182138184">
                          <w:marLeft w:val="0"/>
                          <w:marRight w:val="0"/>
                          <w:marTop w:val="0"/>
                          <w:marBottom w:val="0"/>
                          <w:divBdr>
                            <w:top w:val="single" w:sz="2" w:space="0" w:color="DEDCD1"/>
                            <w:left w:val="single" w:sz="2" w:space="0" w:color="DEDCD1"/>
                            <w:bottom w:val="single" w:sz="2" w:space="0" w:color="DEDCD1"/>
                            <w:right w:val="single" w:sz="2" w:space="0" w:color="DEDCD1"/>
                          </w:divBdr>
                          <w:divsChild>
                            <w:div w:id="1036085272">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412895956">
          <w:marLeft w:val="0"/>
          <w:marRight w:val="0"/>
          <w:marTop w:val="0"/>
          <w:marBottom w:val="0"/>
          <w:divBdr>
            <w:top w:val="single" w:sz="2" w:space="0" w:color="DEDCD1"/>
            <w:left w:val="single" w:sz="2" w:space="0" w:color="DEDCD1"/>
            <w:bottom w:val="single" w:sz="2" w:space="0" w:color="DEDCD1"/>
            <w:right w:val="single" w:sz="2" w:space="0" w:color="DEDCD1"/>
          </w:divBdr>
          <w:divsChild>
            <w:div w:id="1219828516">
              <w:marLeft w:val="0"/>
              <w:marRight w:val="0"/>
              <w:marTop w:val="0"/>
              <w:marBottom w:val="0"/>
              <w:divBdr>
                <w:top w:val="single" w:sz="2" w:space="0" w:color="DEDCD1"/>
                <w:left w:val="single" w:sz="2" w:space="0" w:color="DEDCD1"/>
                <w:bottom w:val="single" w:sz="2" w:space="0" w:color="DEDCD1"/>
                <w:right w:val="single" w:sz="2" w:space="0" w:color="DEDCD1"/>
              </w:divBdr>
              <w:divsChild>
                <w:div w:id="257058725">
                  <w:marLeft w:val="0"/>
                  <w:marRight w:val="0"/>
                  <w:marTop w:val="0"/>
                  <w:marBottom w:val="0"/>
                  <w:divBdr>
                    <w:top w:val="single" w:sz="2" w:space="0" w:color="DEDCD1"/>
                    <w:left w:val="single" w:sz="2" w:space="0" w:color="DEDCD1"/>
                    <w:bottom w:val="single" w:sz="2" w:space="0" w:color="DEDCD1"/>
                    <w:right w:val="single" w:sz="2" w:space="0" w:color="DEDCD1"/>
                  </w:divBdr>
                  <w:divsChild>
                    <w:div w:id="2002002009">
                      <w:marLeft w:val="0"/>
                      <w:marRight w:val="0"/>
                      <w:marTop w:val="0"/>
                      <w:marBottom w:val="0"/>
                      <w:divBdr>
                        <w:top w:val="single" w:sz="2" w:space="0" w:color="DEDCD1"/>
                        <w:left w:val="single" w:sz="2" w:space="0" w:color="DEDCD1"/>
                        <w:bottom w:val="single" w:sz="2" w:space="0" w:color="DEDCD1"/>
                        <w:right w:val="single" w:sz="2" w:space="0" w:color="DEDCD1"/>
                      </w:divBdr>
                      <w:divsChild>
                        <w:div w:id="1418209366">
                          <w:marLeft w:val="0"/>
                          <w:marRight w:val="0"/>
                          <w:marTop w:val="0"/>
                          <w:marBottom w:val="0"/>
                          <w:divBdr>
                            <w:top w:val="single" w:sz="2" w:space="0" w:color="DEDCD1"/>
                            <w:left w:val="single" w:sz="2" w:space="0" w:color="DEDCD1"/>
                            <w:bottom w:val="single" w:sz="2" w:space="0" w:color="DEDCD1"/>
                            <w:right w:val="single" w:sz="2" w:space="0" w:color="DEDCD1"/>
                          </w:divBdr>
                          <w:divsChild>
                            <w:div w:id="982732040">
                              <w:marLeft w:val="0"/>
                              <w:marRight w:val="0"/>
                              <w:marTop w:val="0"/>
                              <w:marBottom w:val="0"/>
                              <w:divBdr>
                                <w:top w:val="single" w:sz="2" w:space="0" w:color="DEDCD1"/>
                                <w:left w:val="single" w:sz="2" w:space="0" w:color="DEDCD1"/>
                                <w:bottom w:val="single" w:sz="2" w:space="0" w:color="DEDCD1"/>
                                <w:right w:val="single" w:sz="2" w:space="0" w:color="DEDCD1"/>
                              </w:divBdr>
                              <w:divsChild>
                                <w:div w:id="1375930400">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 w:id="1398474935">
      <w:bodyDiv w:val="1"/>
      <w:marLeft w:val="0"/>
      <w:marRight w:val="0"/>
      <w:marTop w:val="0"/>
      <w:marBottom w:val="0"/>
      <w:divBdr>
        <w:top w:val="none" w:sz="0" w:space="0" w:color="auto"/>
        <w:left w:val="none" w:sz="0" w:space="0" w:color="auto"/>
        <w:bottom w:val="none" w:sz="0" w:space="0" w:color="auto"/>
        <w:right w:val="none" w:sz="0" w:space="0" w:color="auto"/>
      </w:divBdr>
      <w:divsChild>
        <w:div w:id="854735269">
          <w:marLeft w:val="0"/>
          <w:marRight w:val="0"/>
          <w:marTop w:val="0"/>
          <w:marBottom w:val="0"/>
          <w:divBdr>
            <w:top w:val="single" w:sz="2" w:space="0" w:color="DEDCD1"/>
            <w:left w:val="single" w:sz="2" w:space="0" w:color="DEDCD1"/>
            <w:bottom w:val="single" w:sz="2" w:space="0" w:color="DEDCD1"/>
            <w:right w:val="single" w:sz="2" w:space="0" w:color="DEDCD1"/>
          </w:divBdr>
          <w:divsChild>
            <w:div w:id="971252152">
              <w:marLeft w:val="0"/>
              <w:marRight w:val="0"/>
              <w:marTop w:val="0"/>
              <w:marBottom w:val="0"/>
              <w:divBdr>
                <w:top w:val="single" w:sz="2" w:space="0" w:color="DEDCD1"/>
                <w:left w:val="single" w:sz="2" w:space="0" w:color="DEDCD1"/>
                <w:bottom w:val="single" w:sz="2" w:space="0" w:color="DEDCD1"/>
                <w:right w:val="single" w:sz="2" w:space="0" w:color="DEDCD1"/>
              </w:divBdr>
              <w:divsChild>
                <w:div w:id="911934015">
                  <w:marLeft w:val="0"/>
                  <w:marRight w:val="0"/>
                  <w:marTop w:val="0"/>
                  <w:marBottom w:val="0"/>
                  <w:divBdr>
                    <w:top w:val="single" w:sz="2" w:space="0" w:color="DEDCD1"/>
                    <w:left w:val="single" w:sz="2" w:space="0" w:color="DEDCD1"/>
                    <w:bottom w:val="single" w:sz="2" w:space="0" w:color="DEDCD1"/>
                    <w:right w:val="single" w:sz="2" w:space="0" w:color="DEDCD1"/>
                  </w:divBdr>
                  <w:divsChild>
                    <w:div w:id="1671759050">
                      <w:marLeft w:val="0"/>
                      <w:marRight w:val="0"/>
                      <w:marTop w:val="0"/>
                      <w:marBottom w:val="0"/>
                      <w:divBdr>
                        <w:top w:val="single" w:sz="2" w:space="0" w:color="DEDCD1"/>
                        <w:left w:val="single" w:sz="2" w:space="0" w:color="DEDCD1"/>
                        <w:bottom w:val="single" w:sz="2" w:space="0" w:color="DEDCD1"/>
                        <w:right w:val="single" w:sz="2" w:space="0" w:color="DEDCD1"/>
                      </w:divBdr>
                      <w:divsChild>
                        <w:div w:id="600338082">
                          <w:marLeft w:val="0"/>
                          <w:marRight w:val="0"/>
                          <w:marTop w:val="0"/>
                          <w:marBottom w:val="0"/>
                          <w:divBdr>
                            <w:top w:val="single" w:sz="2" w:space="0" w:color="DEDCD1"/>
                            <w:left w:val="single" w:sz="2" w:space="0" w:color="DEDCD1"/>
                            <w:bottom w:val="single" w:sz="2" w:space="0" w:color="DEDCD1"/>
                            <w:right w:val="single" w:sz="2" w:space="0" w:color="DEDCD1"/>
                          </w:divBdr>
                          <w:divsChild>
                            <w:div w:id="249243758">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368339731">
          <w:marLeft w:val="0"/>
          <w:marRight w:val="0"/>
          <w:marTop w:val="0"/>
          <w:marBottom w:val="0"/>
          <w:divBdr>
            <w:top w:val="single" w:sz="2" w:space="0" w:color="DEDCD1"/>
            <w:left w:val="single" w:sz="2" w:space="0" w:color="DEDCD1"/>
            <w:bottom w:val="single" w:sz="2" w:space="0" w:color="DEDCD1"/>
            <w:right w:val="single" w:sz="2" w:space="0" w:color="DEDCD1"/>
          </w:divBdr>
          <w:divsChild>
            <w:div w:id="589507341">
              <w:marLeft w:val="0"/>
              <w:marRight w:val="0"/>
              <w:marTop w:val="0"/>
              <w:marBottom w:val="0"/>
              <w:divBdr>
                <w:top w:val="single" w:sz="2" w:space="0" w:color="DEDCD1"/>
                <w:left w:val="single" w:sz="2" w:space="0" w:color="DEDCD1"/>
                <w:bottom w:val="single" w:sz="2" w:space="0" w:color="DEDCD1"/>
                <w:right w:val="single" w:sz="2" w:space="0" w:color="DEDCD1"/>
              </w:divBdr>
              <w:divsChild>
                <w:div w:id="1834563809">
                  <w:marLeft w:val="0"/>
                  <w:marRight w:val="0"/>
                  <w:marTop w:val="0"/>
                  <w:marBottom w:val="0"/>
                  <w:divBdr>
                    <w:top w:val="single" w:sz="2" w:space="0" w:color="DEDCD1"/>
                    <w:left w:val="single" w:sz="2" w:space="0" w:color="DEDCD1"/>
                    <w:bottom w:val="single" w:sz="2" w:space="0" w:color="DEDCD1"/>
                    <w:right w:val="single" w:sz="2" w:space="0" w:color="DEDCD1"/>
                  </w:divBdr>
                  <w:divsChild>
                    <w:div w:id="1472289307">
                      <w:marLeft w:val="0"/>
                      <w:marRight w:val="0"/>
                      <w:marTop w:val="0"/>
                      <w:marBottom w:val="0"/>
                      <w:divBdr>
                        <w:top w:val="single" w:sz="2" w:space="0" w:color="DEDCD1"/>
                        <w:left w:val="single" w:sz="2" w:space="0" w:color="DEDCD1"/>
                        <w:bottom w:val="single" w:sz="2" w:space="0" w:color="DEDCD1"/>
                        <w:right w:val="single" w:sz="2" w:space="0" w:color="DEDCD1"/>
                      </w:divBdr>
                      <w:divsChild>
                        <w:div w:id="1223444747">
                          <w:marLeft w:val="0"/>
                          <w:marRight w:val="0"/>
                          <w:marTop w:val="0"/>
                          <w:marBottom w:val="0"/>
                          <w:divBdr>
                            <w:top w:val="single" w:sz="2" w:space="0" w:color="DEDCD1"/>
                            <w:left w:val="single" w:sz="2" w:space="0" w:color="DEDCD1"/>
                            <w:bottom w:val="single" w:sz="2" w:space="0" w:color="DEDCD1"/>
                            <w:right w:val="single" w:sz="2" w:space="0" w:color="DEDCD1"/>
                          </w:divBdr>
                          <w:divsChild>
                            <w:div w:id="469715264">
                              <w:marLeft w:val="0"/>
                              <w:marRight w:val="0"/>
                              <w:marTop w:val="0"/>
                              <w:marBottom w:val="0"/>
                              <w:divBdr>
                                <w:top w:val="single" w:sz="2" w:space="0" w:color="DEDCD1"/>
                                <w:left w:val="single" w:sz="2" w:space="0" w:color="DEDCD1"/>
                                <w:bottom w:val="single" w:sz="2" w:space="0" w:color="DEDCD1"/>
                                <w:right w:val="single" w:sz="2" w:space="0" w:color="DEDCD1"/>
                              </w:divBdr>
                              <w:divsChild>
                                <w:div w:id="100925874">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587</Words>
  <Characters>3352</Characters>
  <Application>Microsoft Office Word</Application>
  <DocSecurity>0</DocSecurity>
  <Lines>27</Lines>
  <Paragraphs>7</Paragraphs>
  <ScaleCrop>false</ScaleCrop>
  <Company/>
  <LinksUpToDate>false</LinksUpToDate>
  <CharactersWithSpaces>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2026-03-10T14:23:00Z</dcterms:created>
  <dcterms:modified xsi:type="dcterms:W3CDTF">2026-03-10T14:24:00Z</dcterms:modified>
</cp:coreProperties>
</file>