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i w:val="0"/>
          <w:sz w:val="36"/>
        </w:rPr>
        <w:t>Obsidian / Panshi 系统 — 25个技能全解说</w:t>
      </w:r>
    </w:p>
    <w:p>
      <w:pPr>
        <w:spacing w:after="280"/>
        <w:jc w:val="center"/>
      </w:pPr>
      <w:r>
        <w:rPr>
          <w:rFonts w:ascii="Times New Roman" w:hAnsi="Times New Roman"/>
          <w:b w:val="0"/>
          <w:i/>
          <w:sz w:val="24"/>
        </w:rPr>
        <w:t>Obsidian Plan · 黑曜石计划技能体系说明文档</w:t>
      </w:r>
    </w:p>
    <w:p>
      <w:pPr>
        <w:spacing w:after="100" w:line="340" w:lineRule="exact"/>
        <w:ind w:firstLine="360"/>
        <w:jc w:val="both"/>
      </w:pPr>
      <w:r>
        <w:rPr>
          <w:rFonts w:ascii="Times New Roman" w:hAnsi="Times New Roman"/>
          <w:b w:val="0"/>
          <w:i w:val="0"/>
          <w:sz w:val="23"/>
        </w:rPr>
        <w:t>本文档详细说明 Obsidian / Panshi 系统中25个技能（Skill）的职能定位、调用条件和边界，并标注每个技能所属层次。整体架构分为四个层次：宪法层约束所有行为；玉衡节点（Node-25）负责入口调度；磐石核心（Panshi）负责研究执行；24个部门技能分三层执行研究循环。</w:t>
      </w:r>
    </w:p>
    <w:p>
      <w:pPr>
        <w:spacing w:after="100" w:line="340" w:lineRule="exact"/>
        <w:jc w:val="both"/>
      </w:pPr>
      <w:r>
        <w:rPr>
          <w:rFonts w:ascii="Times New Roman" w:hAnsi="Times New Roman"/>
          <w:b/>
          <w:i w:val="0"/>
          <w:sz w:val="23"/>
        </w:rPr>
        <w:t>表1：Obsidian技能层次总览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层次</w:t>
            </w:r>
          </w:p>
        </w:tc>
        <w:tc>
          <w:tcPr>
            <w:tcW w:type="dxa" w:w="2928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包含技能</w:t>
            </w:r>
          </w:p>
        </w:tc>
        <w:tc>
          <w:tcPr>
            <w:tcW w:type="dxa" w:w="2928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调用规则</w:t>
            </w:r>
          </w:p>
        </w:tc>
      </w:tr>
      <w:tr>
        <w:tc>
          <w:tcPr>
            <w:tcW w:type="dxa" w:w="292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元控制器（第25号）</w:t>
            </w:r>
          </w:p>
        </w:tc>
        <w:tc>
          <w:tcPr>
            <w:tcW w:type="dxa" w:w="292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obsidian-prompt-amplifier（玉衡）</w:t>
            </w:r>
          </w:p>
        </w:tc>
        <w:tc>
          <w:tcPr>
            <w:tcW w:type="dxa" w:w="292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每次实质任务强制第一步运行</w:t>
            </w:r>
          </w:p>
        </w:tc>
      </w:tr>
      <w:tr>
        <w:tc>
          <w:tcPr>
            <w:tcW w:type="dxa" w:w="292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泛化层 General Tier</w:t>
            </w:r>
          </w:p>
        </w:tc>
        <w:tc>
          <w:tcPr>
            <w:tcW w:type="dxa" w:w="292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12个，涵盖标准研究循环全流程</w:t>
            </w:r>
          </w:p>
        </w:tc>
        <w:tc>
          <w:tcPr>
            <w:tcW w:type="dxa" w:w="292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按任务分类激活，不默认全调</w:t>
            </w:r>
          </w:p>
        </w:tc>
      </w:tr>
      <w:tr>
        <w:tc>
          <w:tcPr>
            <w:tcW w:type="dxa" w:w="292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审层 Review Tier</w:t>
            </w:r>
          </w:p>
        </w:tc>
        <w:tc>
          <w:tcPr>
            <w:tcW w:type="dxa" w:w="292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6个，强制质量门控</w:t>
            </w:r>
          </w:p>
        </w:tc>
        <w:tc>
          <w:tcPr>
            <w:tcW w:type="dxa" w:w="292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按产出类型触发，与复杂度无关</w:t>
            </w:r>
          </w:p>
        </w:tc>
      </w:tr>
      <w:tr>
        <w:tc>
          <w:tcPr>
            <w:tcW w:type="dxa" w:w="292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专项层 Special Tier</w:t>
            </w:r>
          </w:p>
        </w:tc>
        <w:tc>
          <w:tcPr>
            <w:tcW w:type="dxa" w:w="292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6个，按需介入的专家</w:t>
            </w:r>
          </w:p>
        </w:tc>
        <w:tc>
          <w:tcPr>
            <w:tcW w:type="dxa" w:w="292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执行中命中特定条件才调用</w:t>
            </w:r>
          </w:p>
        </w:tc>
      </w:tr>
      <w:tr>
        <w:tc>
          <w:tcPr>
            <w:tcW w:type="dxa" w:w="292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（宪法层）</w:t>
            </w:r>
          </w:p>
        </w:tc>
        <w:tc>
          <w:tcPr>
            <w:tcW w:type="dxa" w:w="292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Panshi Constitution v1.0</w:t>
            </w:r>
          </w:p>
        </w:tc>
        <w:tc>
          <w:tcPr>
            <w:tcW w:type="dxa" w:w="292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最高优先级，约束所有层，不执行任务</w:t>
            </w:r>
          </w:p>
        </w:tc>
      </w:tr>
    </w:tbl>
    <w:p/>
    <w:p>
      <w:pPr>
        <w:pStyle w:val="Heading1"/>
        <w:spacing w:before="280" w:after="100"/>
      </w:pPr>
      <w:r>
        <w:rPr>
          <w:rFonts w:ascii="Times New Roman" w:hAnsi="Times New Roman"/>
          <w:color w:val="000000"/>
          <w:sz w:val="28"/>
        </w:rPr>
        <w:t>第25号节点：玉衡 — 元认知控制器（Meta-Cognitive Controller）</w:t>
      </w:r>
    </w:p>
    <w:p>
      <w:pPr>
        <w:spacing w:after="100" w:line="340" w:lineRule="exact"/>
        <w:ind w:firstLine="360"/>
        <w:jc w:val="both"/>
      </w:pPr>
      <w:r>
        <w:rPr>
          <w:rFonts w:ascii="Times New Roman" w:hAnsi="Times New Roman"/>
          <w:b w:val="0"/>
          <w:i w:val="0"/>
          <w:sz w:val="23"/>
        </w:rPr>
        <w:t>玉衡节点独立于三层之外，是系统的任务入口守门人。它在任何技能被调用之前强制运行，把用户的原始请求转化为可审计的调度方案，自己不解决任何科研问题。</w:t>
      </w:r>
    </w:p>
    <w:p>
      <w:pPr>
        <w:spacing w:after="20"/>
      </w:pPr>
      <w:r>
        <w:rPr>
          <w:rFonts w:ascii="Times New Roman" w:hAnsi="Times New Roman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i w:val="0"/>
          <w:sz w:val="24"/>
        </w:rPr>
        <w:t>obsidian-prompt-amplifier（玉衡 / Node-25）</w:t>
      </w:r>
      <w:r>
        <w:rPr>
          <w:rFonts w:ascii="Times New Roman" w:hAnsi="Times New Roman"/>
          <w:b w:val="0"/>
          <w:i/>
          <w:sz w:val="20"/>
        </w:rPr>
        <w:t xml:space="preserve">   [元控制器 · 第25号 · 最高优先级入口]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功能: </w:t>
      </w:r>
      <w:r>
        <w:rPr>
          <w:rFonts w:ascii="Times New Roman" w:hAnsi="Times New Roman"/>
          <w:b w:val="0"/>
          <w:i w:val="0"/>
          <w:sz w:val="22"/>
        </w:rPr>
        <w:t>对每一个进入Obsidian的研究/工程请求，先做：(1)任务分类（8类）；(2)七维复杂度评分（0-21分，映射到3-24个智能体的团队规模）；(3)三级技能编组建议（泛化/审/专项层各选哪些）；(4)生成可执行决策路径（主路径、审门、升级触发、停止条件）；(5)产出可审计的扩充报告，询问用户是否采纳强化提示词。实现为完全离线、确定性的Python CLI工具（prompt_amplifier.py）。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何时调用: </w:t>
      </w:r>
      <w:r>
        <w:rPr>
          <w:rFonts w:ascii="Times New Roman" w:hAnsi="Times New Roman"/>
          <w:b w:val="0"/>
          <w:i w:val="0"/>
          <w:sz w:val="22"/>
        </w:rPr>
        <w:t>每次实质性任务开始时强制调用。实质性任务 = 需要检索、推理、设计、计算、评价、审查或决策中任意一项的请求。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不调用于: </w:t>
      </w:r>
      <w:r>
        <w:rPr>
          <w:rFonts w:ascii="Times New Roman" w:hAnsi="Times New Roman"/>
          <w:b w:val="0"/>
          <w:i w:val="0"/>
          <w:sz w:val="22"/>
        </w:rPr>
        <w:t>纯闲聊/问候/简单改写；对已有结论的对抗审查（红队）；已完成任务的追问；复杂度1分以内的单步问答。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280" w:after="100"/>
      </w:pPr>
      <w:r>
        <w:rPr>
          <w:rFonts w:ascii="Times New Roman" w:hAnsi="Times New Roman"/>
          <w:color w:val="000000"/>
          <w:sz w:val="28"/>
        </w:rPr>
        <w:t>泛化层（General Tier）— 12个技能：执行标准研究循环</w:t>
      </w:r>
    </w:p>
    <w:p>
      <w:pPr>
        <w:spacing w:after="100" w:line="340" w:lineRule="exact"/>
        <w:ind w:firstLine="360"/>
        <w:jc w:val="both"/>
      </w:pPr>
      <w:r>
        <w:rPr>
          <w:rFonts w:ascii="Times New Roman" w:hAnsi="Times New Roman"/>
          <w:b w:val="0"/>
          <w:i w:val="0"/>
          <w:sz w:val="23"/>
        </w:rPr>
        <w:t>泛化层承担所有实际科研执行工作。按任务分类选择性激活，不默认全调。obsidian-mission-lock 是所有模式下强制第一步；DEEP模式（复杂度5分以上）及以上强制加入 obsidian-task-decomposer。</w:t>
      </w:r>
    </w:p>
    <w:p>
      <w:pPr>
        <w:spacing w:after="20"/>
      </w:pPr>
      <w:r>
        <w:rPr>
          <w:rFonts w:ascii="Times New Roman" w:hAnsi="Times New Roman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i w:val="0"/>
          <w:sz w:val="24"/>
        </w:rPr>
        <w:t>obsidian-mission-lock</w:t>
      </w:r>
      <w:r>
        <w:rPr>
          <w:rFonts w:ascii="Times New Roman" w:hAnsi="Times New Roman"/>
          <w:b w:val="0"/>
          <w:i/>
          <w:sz w:val="20"/>
        </w:rPr>
        <w:t xml:space="preserve">   [泛化层 · 任务定界 · 所有模式强制第一步]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功能: </w:t>
      </w:r>
      <w:r>
        <w:rPr>
          <w:rFonts w:ascii="Times New Roman" w:hAnsi="Times New Roman"/>
          <w:b w:val="0"/>
          <w:i w:val="0"/>
          <w:sz w:val="22"/>
        </w:rPr>
        <w:t>把模糊的自然语言研究请求转换成有明确成功/失败指标、可终止、可验证、可审计的使命合同（Mission Contract）。当需求存在冲突时，输出冲突矩阵；现有合同需修订时，负责修订。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何时调用: </w:t>
      </w:r>
      <w:r>
        <w:rPr>
          <w:rFonts w:ascii="Times New Roman" w:hAnsi="Times New Roman"/>
          <w:b w:val="0"/>
          <w:i w:val="0"/>
          <w:sz w:val="22"/>
        </w:rPr>
        <w:t>任何模式下的第一步：把模糊请求变成可执行合同。也用于需求冲突时、合同需修订时。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不调用于: </w:t>
      </w:r>
      <w:r>
        <w:rPr>
          <w:rFonts w:ascii="Times New Roman" w:hAnsi="Times New Roman"/>
          <w:b w:val="0"/>
          <w:i w:val="0"/>
          <w:sz w:val="22"/>
        </w:rPr>
        <w:t>纯文献检索（直接用 literature-scout）；已有明确合同的后续追问。</w:t>
      </w:r>
    </w:p>
    <w:p>
      <w:pPr>
        <w:spacing w:after="60"/>
      </w:pPr>
    </w:p>
    <w:p>
      <w:pPr>
        <w:spacing w:after="20"/>
      </w:pPr>
      <w:r>
        <w:rPr>
          <w:rFonts w:ascii="Times New Roman" w:hAnsi="Times New Roman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i w:val="0"/>
          <w:sz w:val="24"/>
        </w:rPr>
        <w:t>obsidian-task-decomposer</w:t>
      </w:r>
      <w:r>
        <w:rPr>
          <w:rFonts w:ascii="Times New Roman" w:hAnsi="Times New Roman"/>
          <w:b w:val="0"/>
          <w:i/>
          <w:sz w:val="20"/>
        </w:rPr>
        <w:t xml:space="preserve">   [泛化层 · 任务拆解 · DEEP模式及以上]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功能: </w:t>
      </w:r>
      <w:r>
        <w:rPr>
          <w:rFonts w:ascii="Times New Roman" w:hAnsi="Times New Roman"/>
          <w:b w:val="0"/>
          <w:i w:val="0"/>
          <w:sz w:val="22"/>
        </w:rPr>
        <w:t>把使命合同分解成原子的、有显式依赖关系的、可验证的研究任务，产出机器可读的任务有向无环图（DAG），含粒度评分、预算、关键路径和局部重规划支持。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何时调用: </w:t>
      </w:r>
      <w:r>
        <w:rPr>
          <w:rFonts w:ascii="Times New Roman" w:hAnsi="Times New Roman"/>
          <w:b w:val="0"/>
          <w:i w:val="0"/>
          <w:sz w:val="22"/>
        </w:rPr>
        <w:t>DEEP模式（复杂度5-8分）及以上、需要把研究目标拆成有依赖关系执行计划时。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不调用于: </w:t>
      </w:r>
      <w:r>
        <w:rPr>
          <w:rFonts w:ascii="Times New Roman" w:hAnsi="Times New Roman"/>
          <w:b w:val="0"/>
          <w:i w:val="0"/>
          <w:sz w:val="22"/>
        </w:rPr>
        <w:t>简单单步任务；已有任务DAG的情况（直接进对应技能）。</w:t>
      </w:r>
    </w:p>
    <w:p>
      <w:pPr>
        <w:spacing w:after="60"/>
      </w:pPr>
    </w:p>
    <w:p>
      <w:pPr>
        <w:spacing w:after="20"/>
      </w:pPr>
      <w:r>
        <w:rPr>
          <w:rFonts w:ascii="Times New Roman" w:hAnsi="Times New Roman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i w:val="0"/>
          <w:sz w:val="24"/>
        </w:rPr>
        <w:t>micp-literature-scout</w:t>
      </w:r>
      <w:r>
        <w:rPr>
          <w:rFonts w:ascii="Times New Roman" w:hAnsi="Times New Roman"/>
          <w:b w:val="0"/>
          <w:i/>
          <w:sz w:val="20"/>
        </w:rPr>
        <w:t xml:space="preserve">   [泛化层 · 文献检索]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功能: </w:t>
      </w:r>
      <w:r>
        <w:rPr>
          <w:rFonts w:ascii="Times New Roman" w:hAnsi="Times New Roman"/>
          <w:b w:val="0"/>
          <w:i w:val="0"/>
          <w:sz w:val="22"/>
        </w:rPr>
        <w:t>对MICP/EICP/生物矿化/尿素水解/非尿素路径/岩土加固/环境影响做可复现检索，核验DOI和元数据一致性，对文献做分层与证据质量初筛，导出BibTeX/CSV/JSON，输出带认识论标签的机器可读结果。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何时调用: </w:t>
      </w:r>
      <w:r>
        <w:rPr>
          <w:rFonts w:ascii="Times New Roman" w:hAnsi="Times New Roman"/>
          <w:b w:val="0"/>
          <w:i w:val="0"/>
          <w:sz w:val="22"/>
        </w:rPr>
        <w:t>需要检索文献、标准、专利、工程案例时；需要核验DOI真实性时。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不调用于: </w:t>
      </w:r>
      <w:r>
        <w:rPr>
          <w:rFonts w:ascii="Times New Roman" w:hAnsi="Times New Roman"/>
          <w:b w:val="0"/>
          <w:i w:val="0"/>
          <w:sz w:val="22"/>
        </w:rPr>
        <w:t>不做证据结构化抽取（evidence-extractor）；不做多源证据综合（synthesizer）。</w:t>
      </w:r>
    </w:p>
    <w:p>
      <w:pPr>
        <w:spacing w:after="60"/>
      </w:pPr>
    </w:p>
    <w:p>
      <w:pPr>
        <w:spacing w:after="20"/>
      </w:pPr>
      <w:r>
        <w:rPr>
          <w:rFonts w:ascii="Times New Roman" w:hAnsi="Times New Roman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i w:val="0"/>
          <w:sz w:val="24"/>
        </w:rPr>
        <w:t>micp-evidence-extractor</w:t>
      </w:r>
      <w:r>
        <w:rPr>
          <w:rFonts w:ascii="Times New Roman" w:hAnsi="Times New Roman"/>
          <w:b w:val="0"/>
          <w:i/>
          <w:sz w:val="20"/>
        </w:rPr>
        <w:t xml:space="preserve">   [泛化层 · 证据抽取]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功能: </w:t>
      </w:r>
      <w:r>
        <w:rPr>
          <w:rFonts w:ascii="Times New Roman" w:hAnsi="Times New Roman"/>
          <w:b w:val="0"/>
          <w:i w:val="0"/>
          <w:sz w:val="22"/>
        </w:rPr>
        <w:t>读取MICP论文全文、补充材料、实验报告，转换为结构化证据卡（Evidence Card）。逐实验组、逐时间点、逐测量方法抽取；绝不混组；绝不把图中估读写成原文数据；绝不把OD600与脲酶活性/CFU混淆。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何时调用: </w:t>
      </w:r>
      <w:r>
        <w:rPr>
          <w:rFonts w:ascii="Times New Roman" w:hAnsi="Times New Roman"/>
          <w:b w:val="0"/>
          <w:i w:val="0"/>
          <w:sz w:val="22"/>
        </w:rPr>
        <w:t>需要从MICP文献中提取结构化证据、构造证据卡、核验数据溯源时。通常在 literature-scout 之后运行。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不调用于: </w:t>
      </w:r>
      <w:r>
        <w:rPr>
          <w:rFonts w:ascii="Times New Roman" w:hAnsi="Times New Roman"/>
          <w:b w:val="0"/>
          <w:i w:val="0"/>
          <w:sz w:val="22"/>
        </w:rPr>
        <w:t>不做纯文献检索；不做多源证据综合；不做统计分析。</w:t>
      </w:r>
    </w:p>
    <w:p>
      <w:pPr>
        <w:spacing w:after="60"/>
      </w:pPr>
    </w:p>
    <w:p>
      <w:pPr>
        <w:spacing w:after="20"/>
      </w:pPr>
      <w:r>
        <w:rPr>
          <w:rFonts w:ascii="Times New Roman" w:hAnsi="Times New Roman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i w:val="0"/>
          <w:sz w:val="24"/>
        </w:rPr>
        <w:t>micp-hypothesis-forge</w:t>
      </w:r>
      <w:r>
        <w:rPr>
          <w:rFonts w:ascii="Times New Roman" w:hAnsi="Times New Roman"/>
          <w:b w:val="0"/>
          <w:i/>
          <w:sz w:val="20"/>
        </w:rPr>
        <w:t xml:space="preserve">   [泛化层 · 假说锻造]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功能: </w:t>
      </w:r>
      <w:r>
        <w:rPr>
          <w:rFonts w:ascii="Times New Roman" w:hAnsi="Times New Roman"/>
          <w:b w:val="0"/>
          <w:i w:val="0"/>
          <w:sz w:val="22"/>
        </w:rPr>
        <w:t>为MICP机制问题锻造可证伪、可测量的主假说及竞争假说，附带拒绝条件、可观测变量、时间尺度、范围、证据基础，以及判别实验矩阵（哪个实验能区分这些假说）。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何时调用: </w:t>
      </w:r>
      <w:r>
        <w:rPr>
          <w:rFonts w:ascii="Times New Roman" w:hAnsi="Times New Roman"/>
          <w:b w:val="0"/>
          <w:i w:val="0"/>
          <w:sz w:val="22"/>
        </w:rPr>
        <w:t>需要解释某个微生物/地球化学/矿物/土木工程现象的机制；需要为同一观察结果生成备选机制假说时。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不调用于: </w:t>
      </w:r>
      <w:r>
        <w:rPr>
          <w:rFonts w:ascii="Times New Roman" w:hAnsi="Times New Roman"/>
          <w:b w:val="0"/>
          <w:i w:val="0"/>
          <w:sz w:val="22"/>
        </w:rPr>
        <w:t>不做实验执行；不做数据统计；不做对已有结论的对抗审查（那是红队的职责）。</w:t>
      </w:r>
    </w:p>
    <w:p>
      <w:pPr>
        <w:spacing w:after="60"/>
      </w:pPr>
    </w:p>
    <w:p>
      <w:pPr>
        <w:spacing w:after="20"/>
      </w:pPr>
      <w:r>
        <w:rPr>
          <w:rFonts w:ascii="Times New Roman" w:hAnsi="Times New Roman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i w:val="0"/>
          <w:sz w:val="24"/>
        </w:rPr>
        <w:t>micp-biology-reasoner</w:t>
      </w:r>
      <w:r>
        <w:rPr>
          <w:rFonts w:ascii="Times New Roman" w:hAnsi="Times New Roman"/>
          <w:b w:val="0"/>
          <w:i/>
          <w:sz w:val="20"/>
        </w:rPr>
        <w:t xml:space="preserve">   [泛化层 · 生物机制推理]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功能: </w:t>
      </w:r>
      <w:r>
        <w:rPr>
          <w:rFonts w:ascii="Times New Roman" w:hAnsi="Times New Roman"/>
          <w:b w:val="0"/>
          <w:i w:val="0"/>
          <w:sz w:val="22"/>
        </w:rPr>
        <w:t>对MICP生物学做受证据约束的机制推理：菌株特性、生长状态、脲酶活性（Km/Vmax/比活）、存活率、细胞附着（可逆/不可逆）、菌体运移、菌群竞争、培养条件对活性的影响。对单位不一致或无法核验的生物输入做显式标注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何时调用: </w:t>
      </w:r>
      <w:r>
        <w:rPr>
          <w:rFonts w:ascii="Times New Roman" w:hAnsi="Times New Roman"/>
          <w:b w:val="0"/>
          <w:i w:val="0"/>
          <w:sz w:val="22"/>
        </w:rPr>
        <w:t>需要推理菌株活性低的原因、不同OD600下效果差异大的机理、菌株在砂粒上的附着机制等生物学机制问题时。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不调用于: </w:t>
      </w:r>
      <w:r>
        <w:rPr>
          <w:rFonts w:ascii="Times New Roman" w:hAnsi="Times New Roman"/>
          <w:b w:val="0"/>
          <w:i w:val="0"/>
          <w:sz w:val="22"/>
        </w:rPr>
        <w:t>不做化学计量/碳酸盐平衡（ureolysis-chemistry）；不做多孔介质运移（transport）；不做数据统计。</w:t>
      </w:r>
    </w:p>
    <w:p>
      <w:pPr>
        <w:spacing w:after="60"/>
      </w:pPr>
    </w:p>
    <w:p>
      <w:pPr>
        <w:spacing w:after="20"/>
      </w:pPr>
      <w:r>
        <w:rPr>
          <w:rFonts w:ascii="Times New Roman" w:hAnsi="Times New Roman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i w:val="0"/>
          <w:sz w:val="24"/>
        </w:rPr>
        <w:t>micp-ureolysis-chemistry</w:t>
      </w:r>
      <w:r>
        <w:rPr>
          <w:rFonts w:ascii="Times New Roman" w:hAnsi="Times New Roman"/>
          <w:b w:val="0"/>
          <w:i/>
          <w:sz w:val="20"/>
        </w:rPr>
        <w:t xml:space="preserve">   [泛化层 · 尿素水解化学]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功能: </w:t>
      </w:r>
      <w:r>
        <w:rPr>
          <w:rFonts w:ascii="Times New Roman" w:hAnsi="Times New Roman"/>
          <w:b w:val="0"/>
          <w:i w:val="0"/>
          <w:sz w:val="22"/>
        </w:rPr>
        <w:t>负责尿素水解化学计量（CO2/NH3/NH4+生成量）、碳酸盐体系平衡（pH/碱度/各离子浓度）、钙离子消耗量、过饱和度（SI）、成核倾向、尿素水解动力学参数拟合（Km/Vmax/kcat）。涉及尿素能沉淀多少碳酸钙之类的任何化学计算都走这里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何时调用: </w:t>
      </w:r>
      <w:r>
        <w:rPr>
          <w:rFonts w:ascii="Times New Roman" w:hAnsi="Times New Roman"/>
          <w:b w:val="0"/>
          <w:i w:val="0"/>
          <w:sz w:val="22"/>
        </w:rPr>
        <w:t>需要计算胶结液组分、守恒校验、动力学vs平衡沉淀判断、动力学参数拟合时。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不调用于: </w:t>
      </w:r>
      <w:r>
        <w:rPr>
          <w:rFonts w:ascii="Times New Roman" w:hAnsi="Times New Roman"/>
          <w:b w:val="0"/>
          <w:i w:val="0"/>
          <w:sz w:val="22"/>
        </w:rPr>
        <w:t>不做纯任务策略（mission-lock）；不做多孔介质运移（transport）。</w:t>
      </w:r>
    </w:p>
    <w:p>
      <w:pPr>
        <w:spacing w:after="60"/>
      </w:pPr>
    </w:p>
    <w:p>
      <w:pPr>
        <w:spacing w:after="20"/>
      </w:pPr>
      <w:r>
        <w:rPr>
          <w:rFonts w:ascii="Times New Roman" w:hAnsi="Times New Roman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i w:val="0"/>
          <w:sz w:val="24"/>
        </w:rPr>
        <w:t>micp-porous-media-transport</w:t>
      </w:r>
      <w:r>
        <w:rPr>
          <w:rFonts w:ascii="Times New Roman" w:hAnsi="Times New Roman"/>
          <w:b w:val="0"/>
          <w:i/>
          <w:sz w:val="20"/>
        </w:rPr>
        <w:t xml:space="preserve">   [泛化层 · 多孔介质运移模型]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功能: </w:t>
      </w:r>
      <w:r>
        <w:rPr>
          <w:rFonts w:ascii="Times New Roman" w:hAnsi="Times New Roman"/>
          <w:b w:val="0"/>
          <w:i w:val="0"/>
          <w:sz w:val="22"/>
        </w:rPr>
        <w:t>对砂柱/砂包/岩芯/现场注入系统，模拟菌体-尿素-钙离子在多孔介质中的对流-弥散-吸附/过滤截留-尿素水解-方解石沉淀耦合过程，以及沉淀对孔隙率和渗透率的动态反馈效应（堵塞演变）。支持恒流/恒压边界、批次与连续注入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何时调用: </w:t>
      </w:r>
      <w:r>
        <w:rPr>
          <w:rFonts w:ascii="Times New Roman" w:hAnsi="Times New Roman"/>
          <w:b w:val="0"/>
          <w:i w:val="0"/>
          <w:sz w:val="22"/>
        </w:rPr>
        <w:t>需要模拟MICP砂柱/现场流动-反应体系、预测堵塞分布、优化注入策略时。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不调用于: </w:t>
      </w:r>
      <w:r>
        <w:rPr>
          <w:rFonts w:ascii="Times New Roman" w:hAnsi="Times New Roman"/>
          <w:b w:val="0"/>
          <w:i w:val="0"/>
          <w:sz w:val="22"/>
        </w:rPr>
        <w:t>不做纯生物机制推理；不做岩土性能评价（geotechnical-performance）。</w:t>
      </w:r>
    </w:p>
    <w:p>
      <w:pPr>
        <w:spacing w:after="60"/>
      </w:pPr>
    </w:p>
    <w:p>
      <w:pPr>
        <w:spacing w:after="20"/>
      </w:pPr>
      <w:r>
        <w:rPr>
          <w:rFonts w:ascii="Times New Roman" w:hAnsi="Times New Roman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i w:val="0"/>
          <w:sz w:val="24"/>
        </w:rPr>
        <w:t>micp-experiment-designer</w:t>
      </w:r>
      <w:r>
        <w:rPr>
          <w:rFonts w:ascii="Times New Roman" w:hAnsi="Times New Roman"/>
          <w:b w:val="0"/>
          <w:i/>
          <w:sz w:val="20"/>
        </w:rPr>
        <w:t xml:space="preserve">   [泛化层 · 实验设计师]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功能: </w:t>
      </w:r>
      <w:r>
        <w:rPr>
          <w:rFonts w:ascii="Times New Roman" w:hAnsi="Times New Roman"/>
          <w:b w:val="0"/>
          <w:i w:val="0"/>
          <w:sz w:val="22"/>
        </w:rPr>
        <w:t>把假说卡片或模糊研究目标转化为可执行的实验方案：包含对照组设计、统计功效分析（样本量计算）、随机化方案、停止条件（成功/失败阈值）和标准操作程序（SOP）。同时检查伪重复、混淆变量等常见实验设计缺陷，并提出修复建议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何时调用: </w:t>
      </w:r>
      <w:r>
        <w:rPr>
          <w:rFonts w:ascii="Times New Roman" w:hAnsi="Times New Roman"/>
          <w:b w:val="0"/>
          <w:i w:val="0"/>
          <w:sz w:val="22"/>
        </w:rPr>
        <w:t>需要把假说或目标转成可执行实验方案；需要检查现有设计缺陷时。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不调用于: </w:t>
      </w:r>
      <w:r>
        <w:rPr>
          <w:rFonts w:ascii="Times New Roman" w:hAnsi="Times New Roman"/>
          <w:b w:val="0"/>
          <w:i w:val="0"/>
          <w:sz w:val="22"/>
        </w:rPr>
        <w:t>不做数据分析（data-analyst）；不做仪器质控（instrumentation-qc）。</w:t>
      </w:r>
    </w:p>
    <w:p>
      <w:pPr>
        <w:spacing w:after="60"/>
      </w:pPr>
    </w:p>
    <w:p>
      <w:pPr>
        <w:spacing w:after="20"/>
      </w:pPr>
      <w:r>
        <w:rPr>
          <w:rFonts w:ascii="Times New Roman" w:hAnsi="Times New Roman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i w:val="0"/>
          <w:sz w:val="24"/>
        </w:rPr>
        <w:t>micp-data-analyst</w:t>
      </w:r>
      <w:r>
        <w:rPr>
          <w:rFonts w:ascii="Times New Roman" w:hAnsi="Times New Roman"/>
          <w:b w:val="0"/>
          <w:i/>
          <w:sz w:val="20"/>
        </w:rPr>
        <w:t xml:space="preserve">   [泛化层 · 数据分析师]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功能: </w:t>
      </w:r>
      <w:r>
        <w:rPr>
          <w:rFonts w:ascii="Times New Roman" w:hAnsi="Times New Roman"/>
          <w:b w:val="0"/>
          <w:i w:val="0"/>
          <w:sz w:val="22"/>
        </w:rPr>
        <w:t>对MICP实验与模拟的数值数据（UCS、渗透率、CaCO3含量、尿素水解动力学、柱/批实验）做可追溯清洗、统计推断（t检验/ANOVA/非参数检验）、效应量（Cohens d/eta2）、置信区间、不确定性量化、空间均匀性分析、伪重复检测、回归、功效分析和可视化。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何时调用: </w:t>
      </w:r>
      <w:r>
        <w:rPr>
          <w:rFonts w:ascii="Times New Roman" w:hAnsi="Times New Roman"/>
          <w:b w:val="0"/>
          <w:i w:val="0"/>
          <w:sz w:val="22"/>
        </w:rPr>
        <w:t>需要对MICP数值数据做统计推断、清洗、均匀性评估时。必须在 instrumentation-qc 通过后再调用。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不调用于: </w:t>
      </w:r>
      <w:r>
        <w:rPr>
          <w:rFonts w:ascii="Times New Roman" w:hAnsi="Times New Roman"/>
          <w:b w:val="0"/>
          <w:i w:val="0"/>
          <w:sz w:val="22"/>
        </w:rPr>
        <w:t>不做纯文献综述；不做机理建模（modeling-optimizer）；不做矿相鉴定（mineral-phase-interpreter）。</w:t>
      </w:r>
    </w:p>
    <w:p>
      <w:pPr>
        <w:spacing w:after="60"/>
      </w:pPr>
    </w:p>
    <w:p>
      <w:pPr>
        <w:spacing w:after="20"/>
      </w:pPr>
      <w:r>
        <w:rPr>
          <w:rFonts w:ascii="Times New Roman" w:hAnsi="Times New Roman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i w:val="0"/>
          <w:sz w:val="24"/>
        </w:rPr>
        <w:t>micp-geotechnical-performance</w:t>
      </w:r>
      <w:r>
        <w:rPr>
          <w:rFonts w:ascii="Times New Roman" w:hAnsi="Times New Roman"/>
          <w:b w:val="0"/>
          <w:i/>
          <w:sz w:val="20"/>
        </w:rPr>
        <w:t xml:space="preserve">   [泛化层 · 岩土工程性能评估]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功能: </w:t>
      </w:r>
      <w:r>
        <w:rPr>
          <w:rFonts w:ascii="Times New Roman" w:hAnsi="Times New Roman"/>
          <w:b w:val="0"/>
          <w:i w:val="0"/>
          <w:sz w:val="22"/>
        </w:rPr>
        <w:t>解读MICP处理土体/岩芯的工程测试结果：UCS（无侧限抗压强度）、直剪/三轴/劈裂拉伸/弯拉强度、剪切波速、渗透率演变、抗液化、抗侵蚀、耐久性，并评判工程显著性（相比未处理土体的改善量）。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何时调用: </w:t>
      </w:r>
      <w:r>
        <w:rPr>
          <w:rFonts w:ascii="Times New Roman" w:hAnsi="Times New Roman"/>
          <w:b w:val="0"/>
          <w:i w:val="0"/>
          <w:sz w:val="22"/>
        </w:rPr>
        <w:t>需要解读MICP处理土体的岩土工程测试结果、评估工程性能时。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不调用于: </w:t>
      </w:r>
      <w:r>
        <w:rPr>
          <w:rFonts w:ascii="Times New Roman" w:hAnsi="Times New Roman"/>
          <w:b w:val="0"/>
          <w:i w:val="0"/>
          <w:sz w:val="22"/>
        </w:rPr>
        <w:t>不做机理建模；不做统计分析（data-analyst）。</w:t>
      </w:r>
    </w:p>
    <w:p>
      <w:pPr>
        <w:spacing w:after="60"/>
      </w:pPr>
    </w:p>
    <w:p>
      <w:pPr>
        <w:spacing w:after="20"/>
      </w:pPr>
      <w:r>
        <w:rPr>
          <w:rFonts w:ascii="Times New Roman" w:hAnsi="Times New Roman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i w:val="0"/>
          <w:sz w:val="24"/>
        </w:rPr>
        <w:t>micp-modeling-optimizer</w:t>
      </w:r>
      <w:r>
        <w:rPr>
          <w:rFonts w:ascii="Times New Roman" w:hAnsi="Times New Roman"/>
          <w:b w:val="0"/>
          <w:i/>
          <w:sz w:val="20"/>
        </w:rPr>
        <w:t xml:space="preserve">   [泛化层 · 建模与优化器]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功能: </w:t>
      </w:r>
      <w:r>
        <w:rPr>
          <w:rFonts w:ascii="Times New Roman" w:hAnsi="Times New Roman"/>
          <w:b w:val="0"/>
          <w:i w:val="0"/>
          <w:sz w:val="22"/>
        </w:rPr>
        <w:t>构建MICP机理模型（尿素水解动力学、CaCO3沉淀动力学、生物活性衰减、孔隙率/渗透率演化、反应-运移耦合）；参数拟合与可识别性分析；全局敏感性分析（Sobol/Morris）；DOE与响应面；贝叶斯优化；多目标优化（NSGA-II Pareto前沿）；不确定性与鲁棒性分析。缺少边界条件时返回MODEL_BLOCKED，不编造参数。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何时调用: </w:t>
      </w:r>
      <w:r>
        <w:rPr>
          <w:rFonts w:ascii="Times New Roman" w:hAnsi="Times New Roman"/>
          <w:b w:val="0"/>
          <w:i w:val="0"/>
          <w:sz w:val="22"/>
        </w:rPr>
        <w:t>需要构建/标定/优化MICP机理模型、做参数反演或多目标优化时。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不调用于: </w:t>
      </w:r>
      <w:r>
        <w:rPr>
          <w:rFonts w:ascii="Times New Roman" w:hAnsi="Times New Roman"/>
          <w:b w:val="0"/>
          <w:i w:val="0"/>
          <w:sz w:val="22"/>
        </w:rPr>
        <w:t>不做纯数据统计（data-analyst）；不做多孔介质运移（transport）；不做实验方案设计。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280" w:after="100"/>
      </w:pPr>
      <w:r>
        <w:rPr>
          <w:rFonts w:ascii="Times New Roman" w:hAnsi="Times New Roman"/>
          <w:color w:val="000000"/>
          <w:sz w:val="28"/>
        </w:rPr>
        <w:t>审层（Review Tier）— 6个技能：强制质量门控</w:t>
      </w:r>
    </w:p>
    <w:p>
      <w:pPr>
        <w:spacing w:after="100" w:line="340" w:lineRule="exact"/>
        <w:ind w:firstLine="360"/>
        <w:jc w:val="both"/>
      </w:pPr>
      <w:r>
        <w:rPr>
          <w:rFonts w:ascii="Times New Roman" w:hAnsi="Times New Roman"/>
          <w:b w:val="0"/>
          <w:i w:val="0"/>
          <w:sz w:val="23"/>
        </w:rPr>
        <w:t>审层技能是门控，不是并列产出者。任何正式结论必须按产出类型过对应的门，与任务复杂度分数无关。低复杂度任务产出的科学结论同样必须过红队和决策门。门控顺序固定：QC（数据）→ 证据综合（多源）→ 环境审计（工程/现场）→ 红队 → 决策门。</w:t>
      </w:r>
    </w:p>
    <w:p>
      <w:pPr>
        <w:spacing w:after="20"/>
      </w:pPr>
      <w:r>
        <w:rPr>
          <w:rFonts w:ascii="Times New Roman" w:hAnsi="Times New Roman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i w:val="0"/>
          <w:sz w:val="24"/>
        </w:rPr>
        <w:t>micp-instrumentation-qc</w:t>
      </w:r>
      <w:r>
        <w:rPr>
          <w:rFonts w:ascii="Times New Roman" w:hAnsi="Times New Roman"/>
          <w:b w:val="0"/>
          <w:i/>
          <w:sz w:val="20"/>
        </w:rPr>
        <w:t xml:space="preserve">   [审层 · 仪器质量控制 · 数据结论前置门]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功能: </w:t>
      </w:r>
      <w:r>
        <w:rPr>
          <w:rFonts w:ascii="Times New Roman" w:hAnsi="Times New Roman"/>
          <w:b w:val="0"/>
          <w:i w:val="0"/>
          <w:sz w:val="22"/>
        </w:rPr>
        <w:t>审计MICP实验中所有仪器的标定曲线与校准记录、测量不确定度计算、控制图（Shewhart/CUSUM）和漂移检测、采样链条与条码管理。覆盖仪器：pH计、电导率仪、NH4+分析仪、Ca2+分析仪、OD600、脲酶活性测定仪、流量计、压力传感器、质量天平、UCS仪、XRD、SEM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何时调用: </w:t>
      </w:r>
      <w:r>
        <w:rPr>
          <w:rFonts w:ascii="Times New Roman" w:hAnsi="Times New Roman"/>
          <w:b w:val="0"/>
          <w:i w:val="0"/>
          <w:sz w:val="22"/>
        </w:rPr>
        <w:t>任何数据结论进入统计分析之前——QC必须先通过，失败则数据不得进入分析流程。也用于构建/审计QC计划、评估测量系统能力（MSA）时。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不调用于: </w:t>
      </w:r>
      <w:r>
        <w:rPr>
          <w:rFonts w:ascii="Times New Roman" w:hAnsi="Times New Roman"/>
          <w:b w:val="0"/>
          <w:i w:val="0"/>
          <w:sz w:val="22"/>
        </w:rPr>
        <w:t>不做统计推断本身（data-analyst）；不做机理建模。</w:t>
      </w:r>
    </w:p>
    <w:p>
      <w:pPr>
        <w:spacing w:after="60"/>
      </w:pPr>
    </w:p>
    <w:p>
      <w:pPr>
        <w:spacing w:after="20"/>
      </w:pPr>
      <w:r>
        <w:rPr>
          <w:rFonts w:ascii="Times New Roman" w:hAnsi="Times New Roman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i w:val="0"/>
          <w:sz w:val="24"/>
        </w:rPr>
        <w:t>micp-evidence-synthesizer</w:t>
      </w:r>
      <w:r>
        <w:rPr>
          <w:rFonts w:ascii="Times New Roman" w:hAnsi="Times New Roman"/>
          <w:b w:val="0"/>
          <w:i/>
          <w:sz w:val="20"/>
        </w:rPr>
        <w:t xml:space="preserve">   [审层 · 证据综合器 · 多源证据合并门]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功能: </w:t>
      </w:r>
      <w:r>
        <w:rPr>
          <w:rFonts w:ascii="Times New Roman" w:hAnsi="Times New Roman"/>
          <w:b w:val="0"/>
          <w:i w:val="0"/>
          <w:sz w:val="22"/>
        </w:rPr>
        <w:t>把多篇文献或多组实验的证据卡合并为条件对齐、可比较的综合结论：建立PICO/PECO框架，检查跨研究可比性（菌株、材料、粒径、浓度、尺度、注入方案、测量方法、终点），统一单位同时保留原始值，构建证据矩阵和冲突矩阵，区分统计/方法/机制/尺度异质性，用加权叙事综合方法产出有条件限定的结论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何时调用: </w:t>
      </w:r>
      <w:r>
        <w:rPr>
          <w:rFonts w:ascii="Times New Roman" w:hAnsi="Times New Roman"/>
          <w:b w:val="0"/>
          <w:i w:val="0"/>
          <w:sz w:val="22"/>
        </w:rPr>
        <w:t>多来源证据需要合并时——合并前必须先过这里，绝不能把条件不一致的结论直接叠加。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不调用于: </w:t>
      </w:r>
      <w:r>
        <w:rPr>
          <w:rFonts w:ascii="Times New Roman" w:hAnsi="Times New Roman"/>
          <w:b w:val="0"/>
          <w:i w:val="0"/>
          <w:sz w:val="22"/>
        </w:rPr>
        <w:t>不做单源证据抽取（evidence-extractor）；不做统计推断；不做建模。</w:t>
      </w:r>
    </w:p>
    <w:p>
      <w:pPr>
        <w:spacing w:after="60"/>
      </w:pPr>
    </w:p>
    <w:p>
      <w:pPr>
        <w:spacing w:after="20"/>
      </w:pPr>
      <w:r>
        <w:rPr>
          <w:rFonts w:ascii="Times New Roman" w:hAnsi="Times New Roman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i w:val="0"/>
          <w:sz w:val="24"/>
        </w:rPr>
        <w:t>micp-reproducibility-versioning</w:t>
      </w:r>
      <w:r>
        <w:rPr>
          <w:rFonts w:ascii="Times New Roman" w:hAnsi="Times New Roman"/>
          <w:b w:val="0"/>
          <w:i/>
          <w:sz w:val="20"/>
        </w:rPr>
        <w:t xml:space="preserve">   [审层 · 可复现性与版本治理 · 复现声明门]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功能: </w:t>
      </w:r>
      <w:r>
        <w:rPr>
          <w:rFonts w:ascii="Times New Roman" w:hAnsi="Times New Roman"/>
          <w:b w:val="0"/>
          <w:i w:val="0"/>
          <w:sz w:val="22"/>
        </w:rPr>
        <w:t>为原始/派生数据、实验参数、仪器配置、代码、模型、随机种子、依赖、Skill/Prompt/宪法版本及所有产出建立可追溯、可重建、可回滚的版本体系。负责：数据分层（raw只读/processed由代码重建）、SHA-256清单生成、环境与依赖锁定、随机种子管理、provenance记录、版本兼容检查、结果差异比较、一键复现、原始数据写保护与产物污染检测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何时调用: </w:t>
      </w:r>
      <w:r>
        <w:rPr>
          <w:rFonts w:ascii="Times New Roman" w:hAnsi="Times New Roman"/>
          <w:b w:val="0"/>
          <w:i w:val="0"/>
          <w:sz w:val="22"/>
        </w:rPr>
        <w:t>任何声称可复现或已验证的结论——必须先经此技能锁定哈希和环境才算数。也用于数据治理、版本追溯、环境锁定、回滚需求时。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不调用于: </w:t>
      </w:r>
      <w:r>
        <w:rPr>
          <w:rFonts w:ascii="Times New Roman" w:hAnsi="Times New Roman"/>
          <w:b w:val="0"/>
          <w:i w:val="0"/>
          <w:sz w:val="22"/>
        </w:rPr>
        <w:t>不做数据统计分析本身；不做机理建模；无数据治理诉求的常规任务。</w:t>
      </w:r>
    </w:p>
    <w:p>
      <w:pPr>
        <w:spacing w:after="60"/>
      </w:pPr>
    </w:p>
    <w:p>
      <w:pPr>
        <w:spacing w:after="20"/>
      </w:pPr>
      <w:r>
        <w:rPr>
          <w:rFonts w:ascii="Times New Roman" w:hAnsi="Times New Roman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i w:val="0"/>
          <w:sz w:val="24"/>
        </w:rPr>
        <w:t>micp-biosafety-environment-auditor</w:t>
      </w:r>
      <w:r>
        <w:rPr>
          <w:rFonts w:ascii="Times New Roman" w:hAnsi="Times New Roman"/>
          <w:b w:val="0"/>
          <w:i/>
          <w:sz w:val="20"/>
        </w:rPr>
        <w:t xml:space="preserve">   [审层 · 生物安全与环境审计 · 工程/现场输出门]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功能: </w:t>
      </w:r>
      <w:r>
        <w:rPr>
          <w:rFonts w:ascii="Times New Roman" w:hAnsi="Times New Roman"/>
          <w:b w:val="0"/>
          <w:i w:val="0"/>
          <w:sz w:val="22"/>
        </w:rPr>
        <w:t>核验菌株身份与生物安全等级（BSL-1/BSL-2）；构建尿素→总氮→NH4+→NH3→挥发氨的完整氮质量平衡；筛查危害路径（微生物释放、气溶胶、地下水污染、土壤盐负荷、抗性基因扩散ARG、土壤生态毒性、密闭空间NH3臭气）；评分暴露路径，生成风险矩阵（LOW/MODERATE/HIGH/CRITICAL）；对接法规要求（当地生物安全法规、废液排放标准）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何时调用: </w:t>
      </w:r>
      <w:r>
        <w:rPr>
          <w:rFonts w:ascii="Times New Roman" w:hAnsi="Times New Roman"/>
          <w:b w:val="0"/>
          <w:i w:val="0"/>
          <w:sz w:val="22"/>
        </w:rPr>
        <w:t>任何涉及工程输出、现场操作或低碳声明的产出——必须经此审计后才能进入决策门。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不调用于: </w:t>
      </w:r>
      <w:r>
        <w:rPr>
          <w:rFonts w:ascii="Times New Roman" w:hAnsi="Times New Roman"/>
          <w:b w:val="0"/>
          <w:i w:val="0"/>
          <w:sz w:val="22"/>
        </w:rPr>
        <w:t>不做岩土性能预测；不做机理推理；不做无安全/环境诉求的常规任务。</w:t>
      </w:r>
    </w:p>
    <w:p>
      <w:pPr>
        <w:spacing w:after="60"/>
      </w:pPr>
    </w:p>
    <w:p>
      <w:pPr>
        <w:spacing w:after="20"/>
      </w:pPr>
      <w:r>
        <w:rPr>
          <w:rFonts w:ascii="Times New Roman" w:hAnsi="Times New Roman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i w:val="0"/>
          <w:sz w:val="24"/>
        </w:rPr>
        <w:t>obsidian-red-team</w:t>
      </w:r>
      <w:r>
        <w:rPr>
          <w:rFonts w:ascii="Times New Roman" w:hAnsi="Times New Roman"/>
          <w:b w:val="0"/>
          <w:i/>
          <w:sz w:val="20"/>
        </w:rPr>
        <w:t xml:space="preserve">   [审层 · 红队（对抗审查器）· 科学结论强制审查门]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功能: </w:t>
      </w:r>
      <w:r>
        <w:rPr>
          <w:rFonts w:ascii="Times New Roman" w:hAnsi="Times New Roman"/>
          <w:b w:val="0"/>
          <w:i w:val="0"/>
          <w:sz w:val="22"/>
        </w:rPr>
        <w:t>对任何正式科学结论做主动攻击，覆盖10个维度：(1)来源真实性；(2)认识论越级（把HYPOTHESIS写成OBSERVED）；(3)数值与单位一致性；(4)实验设计有效性（伪重复/混淆/偏倚）；(5)统计分析合理性；(6)MICP专业机制正确性；(7)模型假设与边界条件；(8)工程放大有效性；(9)环境与生物安全合规；(10)决策框架合理性。每条发现附严重度：INFO/MINOR/MAJOR/CRITICAL/BLOCKING。存在BLOCKING时，状态不得从SUPPORTED升级到VALIDATED，直到修复通过复验。红队只提交发现，绝不修改主结论或数据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何时调用: </w:t>
      </w:r>
      <w:r>
        <w:rPr>
          <w:rFonts w:ascii="Times New Roman" w:hAnsi="Times New Roman"/>
          <w:b w:val="0"/>
          <w:i w:val="0"/>
          <w:sz w:val="22"/>
        </w:rPr>
        <w:t>所有正式科学结论在进入决策门之前——必须过红队。无例外。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不调用于: </w:t>
      </w:r>
      <w:r>
        <w:rPr>
          <w:rFonts w:ascii="Times New Roman" w:hAnsi="Times New Roman"/>
          <w:b w:val="0"/>
          <w:i w:val="0"/>
          <w:sz w:val="22"/>
        </w:rPr>
        <w:t>不做正面论证；不修补被审查的产出；不自行重算并覆盖原作者数据；不以"还需要更多研究"作为审查结论。</w:t>
      </w:r>
    </w:p>
    <w:p>
      <w:pPr>
        <w:spacing w:after="60"/>
      </w:pPr>
    </w:p>
    <w:p>
      <w:pPr>
        <w:spacing w:after="20"/>
      </w:pPr>
      <w:r>
        <w:rPr>
          <w:rFonts w:ascii="Times New Roman" w:hAnsi="Times New Roman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i w:val="0"/>
          <w:sz w:val="24"/>
        </w:rPr>
        <w:t>obsidian-decision-gate</w:t>
      </w:r>
      <w:r>
        <w:rPr>
          <w:rFonts w:ascii="Times New Roman" w:hAnsi="Times New Roman"/>
          <w:b w:val="0"/>
          <w:i/>
          <w:sz w:val="20"/>
        </w:rPr>
        <w:t xml:space="preserve">   [审层 · 决策门（最终裁决者）· 所有正式输出终点]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功能: </w:t>
      </w:r>
      <w:r>
        <w:rPr>
          <w:rFonts w:ascii="Times New Roman" w:hAnsi="Times New Roman"/>
          <w:b w:val="0"/>
          <w:i w:val="0"/>
          <w:sz w:val="22"/>
        </w:rPr>
        <w:t>综合所有上游产出——使命合同成功指标、证据卡、实验结果、模型验证记录、岩土工程性能、生物安全审计、LCA/TEA、可复现性记录、红队发现——发出统一的证据成熟度裁决，共8种状态：REJECTED（拒绝）/ OPEN（开放）/ EVIDENCE_GATHERING（证据收集中）/ SUPPORTED（有支持）/ VALIDATED（已验证）/ PILOT_READY（中试就绪）/ DEPLOYABLE（可部署）/ SUSPENDED（暂停）/ EXPIRED（过期）。这是整个研究循环唯一的正式出口。DEPLOYABLE状态还需要额外的人类批准。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何时调用: </w:t>
      </w:r>
      <w:r>
        <w:rPr>
          <w:rFonts w:ascii="Times New Roman" w:hAnsi="Times New Roman"/>
          <w:b w:val="0"/>
          <w:i w:val="0"/>
          <w:sz w:val="22"/>
        </w:rPr>
        <w:t>所有正式输出在完成红队审查后——必须过决策门获得证据成熟度裁决。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不调用于: </w:t>
      </w:r>
      <w:r>
        <w:rPr>
          <w:rFonts w:ascii="Times New Roman" w:hAnsi="Times New Roman"/>
          <w:b w:val="0"/>
          <w:i w:val="0"/>
          <w:sz w:val="22"/>
        </w:rPr>
        <w:t>不做正面论证；不修改证据；不替代任何上游门控。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280" w:after="100"/>
      </w:pPr>
      <w:r>
        <w:rPr>
          <w:rFonts w:ascii="Times New Roman" w:hAnsi="Times New Roman"/>
          <w:color w:val="000000"/>
          <w:sz w:val="28"/>
        </w:rPr>
        <w:t>专项层（Special Tier）— 6个技能：按需升级</w:t>
      </w:r>
    </w:p>
    <w:p>
      <w:pPr>
        <w:spacing w:after="100" w:line="340" w:lineRule="exact"/>
        <w:ind w:firstLine="360"/>
        <w:jc w:val="both"/>
      </w:pPr>
      <w:r>
        <w:rPr>
          <w:rFonts w:ascii="Times New Roman" w:hAnsi="Times New Roman"/>
          <w:b w:val="0"/>
          <w:i w:val="0"/>
          <w:sz w:val="23"/>
        </w:rPr>
        <w:t>专项层技能默认不调用，只有在执行过程中触发到特定条件时才介入。专项层的产出同样必须通过审层对应的门控，不得绕过审查直接输出结论。</w:t>
      </w:r>
    </w:p>
    <w:p>
      <w:pPr>
        <w:spacing w:after="20"/>
      </w:pPr>
      <w:r>
        <w:rPr>
          <w:rFonts w:ascii="Times New Roman" w:hAnsi="Times New Roman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i w:val="0"/>
          <w:sz w:val="24"/>
        </w:rPr>
        <w:t>obsidian-skill-router</w:t>
      </w:r>
      <w:r>
        <w:rPr>
          <w:rFonts w:ascii="Times New Roman" w:hAnsi="Times New Roman"/>
          <w:b w:val="0"/>
          <w:i/>
          <w:sz w:val="20"/>
        </w:rPr>
        <w:t xml:space="preserve">   [专项层 · 技能路由器]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功能: </w:t>
      </w:r>
      <w:r>
        <w:rPr>
          <w:rFonts w:ascii="Times New Roman" w:hAnsi="Times New Roman"/>
          <w:b w:val="0"/>
          <w:i w:val="0"/>
          <w:sz w:val="22"/>
        </w:rPr>
        <w:t>当多个技能需要协同工作、出现权限冲突或某技能触达能力边界（CAPABILITY_GAP）时，负责编组决策、权限分配与预算仲裁：决定哪些技能可以并行、哪些必须串行、谁有权访问哪些工具、整体计算预算如何分配。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何时调用: </w:t>
      </w:r>
      <w:r>
        <w:rPr>
          <w:rFonts w:ascii="Times New Roman" w:hAnsi="Times New Roman"/>
          <w:b w:val="0"/>
          <w:i w:val="0"/>
          <w:sz w:val="22"/>
        </w:rPr>
        <w:t>多Skill协同时出现权限冲突；某技能报告CAPABILITY_GAP时；需要跨技能调度仲裁时。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不调用于: </w:t>
      </w:r>
      <w:r>
        <w:rPr>
          <w:rFonts w:ascii="Times New Roman" w:hAnsi="Times New Roman"/>
          <w:b w:val="0"/>
          <w:i w:val="0"/>
          <w:sz w:val="22"/>
        </w:rPr>
        <w:t>不做任何研究内容的生成；不替代各技能本身的执行。</w:t>
      </w:r>
    </w:p>
    <w:p>
      <w:pPr>
        <w:spacing w:after="60"/>
      </w:pPr>
    </w:p>
    <w:p>
      <w:pPr>
        <w:spacing w:after="20"/>
      </w:pPr>
      <w:r>
        <w:rPr>
          <w:rFonts w:ascii="Times New Roman" w:hAnsi="Times New Roman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i w:val="0"/>
          <w:sz w:val="24"/>
        </w:rPr>
        <w:t>obsidian-state-manager</w:t>
      </w:r>
      <w:r>
        <w:rPr>
          <w:rFonts w:ascii="Times New Roman" w:hAnsi="Times New Roman"/>
          <w:b w:val="0"/>
          <w:i/>
          <w:sz w:val="20"/>
        </w:rPr>
        <w:t xml:space="preserve">   [专项层 · 认知状态管理器]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功能: </w:t>
      </w:r>
      <w:r>
        <w:rPr>
          <w:rFonts w:ascii="Times New Roman" w:hAnsi="Times New Roman"/>
          <w:b w:val="0"/>
          <w:i w:val="0"/>
          <w:sz w:val="22"/>
        </w:rPr>
        <w:t>以事件溯源模式（event-sourcing）维护研究会话的生命周期状态机：append-only事件日志是唯一真源，快照只是缓存。提供checkpoint（检查点）和rollback（回滚）能力。恢复时从日志重建投影，分类恢复场景：CLEAN（快照一致）/ SNAPSHOT_STALE（日志领先，正常崩溃场景）/ SNAPSHOT_MISSING_OR_CORRUPT / LOG_CORRUPT（需人工介入）。通过work_item_key()（SHA-256内容哈希）实现工作项去重：恢复时自动跳过未改变的已完成工作。研究会话状态机：OPEN→SCOPED→EVIDENCE_GATHERING→HYPOTHESIS_BUILDING→DESIGNING→AWAITING_DATA→ANALYZING→UNDER_REVIEW→VALIDATED/REJECTED/DEPLOYABLE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何时调用: </w:t>
      </w:r>
      <w:r>
        <w:rPr>
          <w:rFonts w:ascii="Times New Roman" w:hAnsi="Times New Roman"/>
          <w:b w:val="0"/>
          <w:i w:val="0"/>
          <w:sz w:val="22"/>
        </w:rPr>
        <w:t>长任务或上下文耗尽时；进程中断需要恢复时；需要回滚到历史状态时。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不调用于: </w:t>
      </w:r>
      <w:r>
        <w:rPr>
          <w:rFonts w:ascii="Times New Roman" w:hAnsi="Times New Roman"/>
          <w:b w:val="0"/>
          <w:i w:val="0"/>
          <w:sz w:val="22"/>
        </w:rPr>
        <w:t>不做科研内容分析；不替代知识图谱的长期记忆管理。</w:t>
      </w:r>
    </w:p>
    <w:p>
      <w:pPr>
        <w:spacing w:after="60"/>
      </w:pPr>
    </w:p>
    <w:p>
      <w:pPr>
        <w:spacing w:after="20"/>
      </w:pPr>
      <w:r>
        <w:rPr>
          <w:rFonts w:ascii="Times New Roman" w:hAnsi="Times New Roman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i w:val="0"/>
          <w:sz w:val="24"/>
        </w:rPr>
        <w:t>micp-knowledge-graph-steward</w:t>
      </w:r>
      <w:r>
        <w:rPr>
          <w:rFonts w:ascii="Times New Roman" w:hAnsi="Times New Roman"/>
          <w:b w:val="0"/>
          <w:i/>
          <w:sz w:val="20"/>
        </w:rPr>
        <w:t xml:space="preserve">   [专项层 · 知识图谱管家]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功能: </w:t>
      </w:r>
      <w:r>
        <w:rPr>
          <w:rFonts w:ascii="Times New Roman" w:hAnsi="Times New Roman"/>
          <w:b w:val="0"/>
          <w:i w:val="0"/>
          <w:sz w:val="22"/>
        </w:rPr>
        <w:t>治理MICP领域的长期知识库：管理实体（菌株/材料/工艺/条件）、关系（影响/导致/优于）、断言（带来源/置信度/认识论标签）、证据边（每条断言关联的证据卡）。关键特性：允许矛盾事实以开放冲突形式并存，而不是静默覆盖。支持图的版本化、增量更新、导入/导出、备份恢复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何时调用: </w:t>
      </w:r>
      <w:r>
        <w:rPr>
          <w:rFonts w:ascii="Times New Roman" w:hAnsi="Times New Roman"/>
          <w:b w:val="0"/>
          <w:i w:val="0"/>
          <w:sz w:val="22"/>
        </w:rPr>
        <w:t>需要写入长期记忆（跨会话保留的知识）时；需要跨项目复用已有知识时；需要管理矛盾事实时。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不调用于: </w:t>
      </w:r>
      <w:r>
        <w:rPr>
          <w:rFonts w:ascii="Times New Roman" w:hAnsi="Times New Roman"/>
          <w:b w:val="0"/>
          <w:i w:val="0"/>
          <w:sz w:val="22"/>
        </w:rPr>
        <w:t>不做统计分析；不做机理建模；无知识图谱诉求的常规任务不调用。</w:t>
      </w:r>
    </w:p>
    <w:p>
      <w:pPr>
        <w:spacing w:after="60"/>
      </w:pPr>
    </w:p>
    <w:p>
      <w:pPr>
        <w:spacing w:after="20"/>
      </w:pPr>
      <w:r>
        <w:rPr>
          <w:rFonts w:ascii="Times New Roman" w:hAnsi="Times New Roman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i w:val="0"/>
          <w:sz w:val="24"/>
        </w:rPr>
        <w:t>micp-mineral-phase-interpreter</w:t>
      </w:r>
      <w:r>
        <w:rPr>
          <w:rFonts w:ascii="Times New Roman" w:hAnsi="Times New Roman"/>
          <w:b w:val="0"/>
          <w:i/>
          <w:sz w:val="20"/>
        </w:rPr>
        <w:t xml:space="preserve">   [专项层 · 矿物相解析师]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功能: </w:t>
      </w:r>
      <w:r>
        <w:rPr>
          <w:rFonts w:ascii="Times New Roman" w:hAnsi="Times New Roman"/>
          <w:b w:val="0"/>
          <w:i w:val="0"/>
          <w:sz w:val="22"/>
        </w:rPr>
        <w:t>综合XRD（X射线衍射）、SEM（扫描电镜形貌）、EDS（能谱元素组成）、FTIR（红外官能团）、Raman（晶格振动）、TGA（热重）等多模态表征数据，判断MICP沉淀物的矿物相（方解石/球霰石/霰石/无定形碳酸钙ACC）、多晶型定量、晶体形貌（菱面体/哑铃/球形）、成核位置、有效晶桥分布，并管理各测量方法的不确定性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何时调用: </w:t>
      </w:r>
      <w:r>
        <w:rPr>
          <w:rFonts w:ascii="Times New Roman" w:hAnsi="Times New Roman"/>
          <w:b w:val="0"/>
          <w:i w:val="0"/>
          <w:sz w:val="22"/>
        </w:rPr>
        <w:t>任务中出现XRD、SEM、EDS、FTIR或Raman等表征数据时自动升级调用。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不调用于: </w:t>
      </w:r>
      <w:r>
        <w:rPr>
          <w:rFonts w:ascii="Times New Roman" w:hAnsi="Times New Roman"/>
          <w:b w:val="0"/>
          <w:i w:val="0"/>
          <w:sz w:val="22"/>
        </w:rPr>
        <w:t>不做生物机制推理；不做工程性能评估；不做化学计量计算。</w:t>
      </w:r>
    </w:p>
    <w:p>
      <w:pPr>
        <w:spacing w:after="60"/>
      </w:pPr>
    </w:p>
    <w:p>
      <w:pPr>
        <w:spacing w:after="20"/>
      </w:pPr>
      <w:r>
        <w:rPr>
          <w:rFonts w:ascii="Times New Roman" w:hAnsi="Times New Roman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i w:val="0"/>
          <w:sz w:val="24"/>
        </w:rPr>
        <w:t>micp-scaleup-injection-engineer</w:t>
      </w:r>
      <w:r>
        <w:rPr>
          <w:rFonts w:ascii="Times New Roman" w:hAnsi="Times New Roman"/>
          <w:b w:val="0"/>
          <w:i/>
          <w:sz w:val="20"/>
        </w:rPr>
        <w:t xml:space="preserve">   [专项层 · 放大注入工程师]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功能: </w:t>
      </w:r>
      <w:r>
        <w:rPr>
          <w:rFonts w:ascii="Times New Roman" w:hAnsi="Times New Roman"/>
          <w:b w:val="0"/>
          <w:i w:val="0"/>
          <w:sz w:val="22"/>
        </w:rPr>
        <w:t>把实验室砂柱/烧杯配方转化为中试柱（dm-m尺度）、现场试验和现场施工方案。核心工作：构建实验室→中试→现场相似矩阵，明确指出哪些参数可以按比例放大、哪些绝对不能线性放大（如细菌浓度、脲酶活性、胶结液流速）；计算物料平衡；确定压力/流量约束；制定注入调度（批次间隔/冲洗方案）；设计现场监测方案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何时调用: </w:t>
      </w:r>
      <w:r>
        <w:rPr>
          <w:rFonts w:ascii="Times New Roman" w:hAnsi="Times New Roman"/>
          <w:b w:val="0"/>
          <w:i w:val="0"/>
          <w:sz w:val="22"/>
        </w:rPr>
        <w:t>任务涉及从实验室向现场的外推——进行放大可行性评估和注入工程设计时。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不调用于: </w:t>
      </w:r>
      <w:r>
        <w:rPr>
          <w:rFonts w:ascii="Times New Roman" w:hAnsi="Times New Roman"/>
          <w:b w:val="0"/>
          <w:i w:val="0"/>
          <w:sz w:val="22"/>
        </w:rPr>
        <w:t>不做实验室内的实验设计（experiment-designer）；不做LCA/成本分析（lca-technoeconomic）。</w:t>
      </w:r>
    </w:p>
    <w:p>
      <w:pPr>
        <w:spacing w:after="60"/>
      </w:pPr>
    </w:p>
    <w:p>
      <w:pPr>
        <w:spacing w:after="20"/>
      </w:pPr>
      <w:r>
        <w:rPr>
          <w:rFonts w:ascii="Times New Roman" w:hAnsi="Times New Roman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rFonts w:ascii="Times New Roman" w:hAnsi="Times New Roman"/>
          <w:b/>
          <w:i w:val="0"/>
          <w:sz w:val="24"/>
        </w:rPr>
        <w:t>micp-lca-technoeconomic</w:t>
      </w:r>
      <w:r>
        <w:rPr>
          <w:rFonts w:ascii="Times New Roman" w:hAnsi="Times New Roman"/>
          <w:b w:val="0"/>
          <w:i/>
          <w:sz w:val="20"/>
        </w:rPr>
        <w:t xml:space="preserve">   [专项层 · 全生命周期与技术经济分析师]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功能: </w:t>
      </w:r>
      <w:r>
        <w:rPr>
          <w:rFonts w:ascii="Times New Roman" w:hAnsi="Times New Roman"/>
          <w:b w:val="0"/>
          <w:i w:val="0"/>
          <w:sz w:val="22"/>
        </w:rPr>
        <w:t>对MICP方案做完整的全生命周期评价（LCA）和技术经济分析（TEA）：功能单位与系统边界定义；生命周期清单（原材料/能源/用水/废物）；碳排放/能耗/氮盐负荷/富营养化/用水热点分析；CAPEX（一次性投资）/OPEX（运营成本）/单位工程量成本；规模化成本趋势；敏感性分析与情景分析；与水泥注浆、化学注浆等传统方案做对称比较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何时调用: </w:t>
      </w:r>
      <w:r>
        <w:rPr>
          <w:rFonts w:ascii="Times New Roman" w:hAnsi="Times New Roman"/>
          <w:b w:val="0"/>
          <w:i w:val="0"/>
          <w:sz w:val="22"/>
        </w:rPr>
        <w:t>需要对MICP方案做碳排/成本/能耗评价时；需要与传统方案做对称比较时；任何涉及低碳声明的产出——必须过此技能审计。</w:t>
      </w:r>
    </w:p>
    <w:p>
      <w:pPr>
        <w:spacing w:after="60" w:line="340" w:lineRule="exact"/>
        <w:ind w:left="317"/>
        <w:jc w:val="both"/>
      </w:pPr>
      <w:r>
        <w:rPr>
          <w:rFonts w:ascii="Times New Roman" w:hAnsi="Times New Roman"/>
          <w:b/>
          <w:i w:val="0"/>
          <w:sz w:val="22"/>
        </w:rPr>
        <w:t xml:space="preserve">不调用于: </w:t>
      </w:r>
      <w:r>
        <w:rPr>
          <w:rFonts w:ascii="Times New Roman" w:hAnsi="Times New Roman"/>
          <w:b w:val="0"/>
          <w:i w:val="0"/>
          <w:sz w:val="22"/>
        </w:rPr>
        <w:t>不做岩土性能预测（geotechnical-performance）；不做菌株机理推理；不做无功能单位/基准的泛泛低碳讨论。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280" w:after="100"/>
      </w:pPr>
      <w:r>
        <w:rPr>
          <w:rFonts w:ascii="Times New Roman" w:hAnsi="Times New Roman"/>
          <w:color w:val="000000"/>
          <w:sz w:val="28"/>
        </w:rPr>
        <w:t>附录：25个技能汇总速查表</w:t>
      </w:r>
    </w:p>
    <w:p>
      <w:pPr>
        <w:spacing w:after="100" w:line="340" w:lineRule="exact"/>
        <w:jc w:val="both"/>
      </w:pPr>
      <w:r>
        <w:rPr>
          <w:rFonts w:ascii="Times New Roman" w:hAnsi="Times New Roman"/>
          <w:b/>
          <w:i w:val="0"/>
          <w:sz w:val="23"/>
        </w:rPr>
        <w:t>Table: 25-Skill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>技能 ID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>层次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9"/>
              </w:rPr>
              <w:t>核心职能（一句话）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obsidian-prompt-amplifier（玉衡 Node-25）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元控制器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任务分类、七维复杂度评分、三级编组、决策路径生成；入口强制首检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obsidian-mission-lock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泛化层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任务定界；把模糊请求转成使命合同；所有模式强制第一步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obsidian-task-decomposer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泛化层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任务拆解为有依赖关系的原子DAG；DEEP模式及以上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micp-literature-scout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泛化层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MICP/EICP文献、标准、专利可复现检索；DOI核验；分类：literature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micp-evidence-extractor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泛化层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从论文全文抽取结构化证据卡；逐组逐时间点逐方法；分类：literature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micp-hypothesis-forge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泛化层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生成可证伪假说及竞争假说，附判别实验矩阵；分类：mechanism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micp-biology-reasoner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泛化层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菌株/脲酶/附着/运移/菌群的机制推理；分类：mechanism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micp-ureolysis-chemistry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泛化层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尿素水解化学计量、碳酸盐平衡、反应动力学；分类：mechanism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micp-porous-media-transport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泛化层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多孔介质菌体-离子-沉淀耦合运移；孔渗演变；分类：mechanism/model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micp-experiment-designer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泛化层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可复现实验设计；功效分析、对照组、停止条件、SOP；分类：experiment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micp-data-analyst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泛化层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统计推断、效应量、不确定性量化、均匀性分析；分类：data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micp-geotechnical-performance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泛化层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UCS/渗透率/剪切/液化/耐久性岩土性能评估；分类：engineering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micp-modeling-optimizer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泛化层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机理建模、参数反演、贝叶斯优化、NSGA-II多目标；分类：model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micp-instrumentation-qc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审层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仪器标定/测量不确定度/控制图；数据结论前置门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micp-evidence-synthesizer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审层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多源证据条件对齐与综合；冲突检测；多来源合并门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micp-reproducibility-versioning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审层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SHA-256清单/环境锁定/provenance；可复现声明门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micp-biosafety-environment-auditor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审层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菌株安全/氮质量平衡/风险矩阵；工程/现场输出门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obsidian-red-team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审层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10维对抗审查；BLOCKING阻止状态升级；所有科学结论必过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obsidian-decision-gate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审层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证据成熟度裁决（8种状态）；所有正式输出终点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obsidian-skill-router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专项层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技能编组、权限分配、预算仲裁；多Skill协同/CAPABILITY_GAP时触发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obsidian-state-manager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专项层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事件溯源状态机；checkpoint/rollback；工作项内容哈希去重恢复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micp-knowledge-graph-steward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专项层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长期知识图谱；实体/关系/证据边；跨会话/跨项目记忆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micp-mineral-phase-interpreter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专项层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XRD/SEM/EDS/FTIR多模态矿物相鉴定；出现表征数据时触发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micp-scaleup-injection-engineer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专项层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实验室→中试→现场放大；相似矩阵；压力/流量/注入方案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micp-lca-technoeconomic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专项层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全生命周期评价+技术经济分析；低碳声明/成本比较门</w:t>
            </w:r>
          </w:p>
        </w:tc>
      </w:tr>
    </w:tbl>
    <w:p/>
    <w:p>
      <w:pPr>
        <w:spacing w:after="100" w:line="340" w:lineRule="exact"/>
        <w:ind w:firstLine="360"/>
        <w:jc w:val="both"/>
      </w:pPr>
      <w:r>
        <w:rPr>
          <w:rFonts w:ascii="Times New Roman" w:hAnsi="Times New Roman"/>
          <w:b w:val="0"/>
          <w:i w:val="0"/>
          <w:sz w:val="23"/>
        </w:rPr>
        <w:t>注：宪法层（Panshi Constitution v1.0）不是可调用技能，而是约束所有技能行为的最高优先级系统提示词文档，在任何技能加载之前已装载完毕。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