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Arial" w:cs="Arial" w:eastAsia="Arial" w:hAnsi="Arial"/>
          <w:b/>
          <w:bCs/>
          <w:color w:val="1E3A5F"/>
          <w:sz w:val="56"/>
          <w:szCs w:val="56"/>
        </w:rPr>
        <w:t xml:space="preserve">CODETRUTH OS</w:t>
      </w:r>
    </w:p>
    <w:p>
      <w:pPr>
        <w:spacing w:before="200"/>
        <w:jc w:val="center"/>
      </w:pPr>
      <w:r>
        <w:rPr>
          <w:rFonts w:ascii="Arial" w:cs="Arial" w:eastAsia="Arial" w:hAnsi="Arial"/>
          <w:color w:val="2E5A88"/>
          <w:sz w:val="40"/>
          <w:szCs w:val="40"/>
        </w:rPr>
        <w:t xml:space="preserve">Monetization Blueprint</w:t>
      </w:r>
    </w:p>
    <w:p>
      <w:pPr>
        <w:spacing w:before="400"/>
        <w:jc w:val="center"/>
      </w:pPr>
      <w:r>
        <w:rPr>
          <w:rFonts w:ascii="Arial" w:cs="Arial" w:eastAsia="Arial" w:hAnsi="Arial"/>
          <w:color w:val="666666"/>
          <w:sz w:val="24"/>
          <w:szCs w:val="24"/>
        </w:rPr>
        <w:t xml:space="preserve">Version 1.0  |  June 2026</w:t>
      </w:r>
    </w:p>
    <w:p>
      <w:pPr>
        <w:spacing w:before="600"/>
        <w:jc w:val="center"/>
      </w:pPr>
      <w:r>
        <w:rPr>
          <w:rFonts w:ascii="Arial" w:cs="Arial" w:eastAsia="Arial" w:hAnsi="Arial"/>
          <w:i/>
          <w:iCs/>
          <w:color w:val="444444"/>
          <w:sz w:val="22"/>
          <w:szCs w:val="22"/>
        </w:rPr>
        <w:t xml:space="preserve">Strategic Planning Document</w:t>
      </w:r>
    </w:p>
    <w:p>
      <w:pPr>
        <w:spacing w:before="200"/>
        <w:jc w:val="center"/>
      </w:pPr>
      <w:r>
        <w:rPr>
          <w:rFonts w:ascii="Arial" w:cs="Arial" w:eastAsia="Arial" w:hAnsi="Arial"/>
          <w:color w:val="666666"/>
          <w:sz w:val="20"/>
          <w:szCs w:val="20"/>
        </w:rPr>
        <w:t xml:space="preserve">Institutional-Grade Product Launch &amp; Revenue Architecture</w:t>
      </w:r>
    </w:p>
    <w:p>
      <w:pPr>
        <w:spacing w:before="800"/>
      </w:pPr>
    </w:p>
    <w:p>
      <w:pPr>
        <w:jc w:val="center"/>
      </w:pPr>
      <w:r>
        <w:rPr>
          <w:rFonts w:ascii="Arial" w:cs="Arial" w:eastAsia="Arial" w:hAnsi="Arial"/>
          <w:b/>
          <w:bCs/>
          <w:color w:val="1E3A5F"/>
          <w:sz w:val="22"/>
          <w:szCs w:val="22"/>
        </w:rPr>
        <w:t xml:space="preserve">Through the LOGOC</w:t>
      </w:r>
    </w:p>
    <w:p>
      <w:pPr>
        <w:spacing w:before="120"/>
        <w:jc w:val="center"/>
      </w:pPr>
      <w:r>
        <w:rPr>
          <w:rFonts w:ascii="Arial" w:cs="Arial" w:eastAsia="Arial" w:hAnsi="Arial"/>
          <w:i/>
          <w:iCs/>
          <w:color w:val="2E5A88"/>
          <w:sz w:val="18"/>
          <w:szCs w:val="18"/>
        </w:rPr>
        <w:t xml:space="preserve">Theology • Technology • Cosmology — Unified by Logic</w:t>
      </w:r>
    </w:p>
    <w:p>
      <w:pPr>
        <w:spacing w:before="600"/>
      </w:pPr>
    </w:p>
    <w:p>
      <w:pPr>
        <w:jc w:val="center"/>
      </w:pPr>
      <w:r>
        <w:rPr>
          <w:rFonts w:ascii="Arial" w:cs="Arial" w:eastAsia="Arial" w:hAnsi="Arial"/>
          <w:i/>
          <w:iCs/>
          <w:color w:val="444444"/>
          <w:sz w:val="20"/>
          <w:szCs w:val="20"/>
        </w:rPr>
        <w:t xml:space="preserve">For the Sovereign Builder who refuses cognitive compression failure.</w:t>
      </w:r>
    </w:p>
    <w:p>
      <w:r>
        <w:br w:type="page"/>
      </w:r>
    </w:p>
    <w:p>
      <w:pPr>
        <w:pStyle w:val="Heading1"/>
      </w:pPr>
      <w:r>
        <w:t xml:space="preserve">Executive Framing — The LOGOC of Monetization</w:t>
      </w:r>
    </w:p>
    <w:p>
      <w:pPr>
        <w:spacing w:after="200"/>
      </w:pPr>
      <w:r>
        <w:rPr>
          <w:sz w:val="22"/>
          <w:szCs w:val="22"/>
        </w:rPr>
        <w:t xml:space="preserve">CodeTruth OS is not a code review tool. It is a persistent cognitive layer — the intelligence that always knows what a complex project is, how it works, where it breaks, and exactly what must be built next. The work model you have already authored defines its operational reality with institutional rigor. This blueprint defines how that reality becomes a self-sustaining, abundance-generating project.</w:t>
      </w:r>
    </w:p>
    <w:p>
      <w:pPr>
        <w:pStyle w:val="Heading2"/>
      </w:pPr>
      <w:r>
        <w:t xml:space="preserve">The Triune Imperative</w:t>
      </w:r>
    </w:p>
    <w:p>
      <w:pPr>
        <w:spacing w:after="160"/>
      </w:pPr>
      <w:r>
        <w:rPr>
          <w:b/>
          <w:bCs/>
        </w:rPr>
        <w:t xml:space="preserve">Theological: </w:t>
      </w:r>
      <w:r>
        <w:t xml:space="preserve">Monetization must serve the reduction of a specific suffering — the compounding loss of coherence that occurs when a builder’s mental model fractures under complexity. Pricing and access models are acts of stewardship. They must lower barriers for serious truth-seekers while generating the resources required to keep raising the standard of system truth.</w:t>
      </w:r>
    </w:p>
    <w:p>
      <w:pPr>
        <w:spacing w:after="160"/>
      </w:pPr>
      <w:r>
        <w:rPr>
          <w:b/>
          <w:bCs/>
        </w:rPr>
        <w:t xml:space="preserve">Technological: </w:t>
      </w:r>
      <w:r>
        <w:t xml:space="preserve">The 8-layer pipeline, the 5-model adversarial Truth Council with explicit contradiction preservation, the evidence-linked confidence taxonomy, spatial rendering, and continuous incremental operation constitute a genuine, defensible moat. Monetization architecture must protect and compound this moat rather than dilute it through premature feature compromises or misaligned incentives.</w:t>
      </w:r>
    </w:p>
    <w:p>
      <w:pPr>
        <w:spacing w:after="200"/>
      </w:pPr>
      <w:r>
        <w:rPr>
          <w:b/>
          <w:bCs/>
        </w:rPr>
        <w:t xml:space="preserve">Cosmological: </w:t>
      </w:r>
      <w:r>
        <w:t xml:space="preserve">CodeTruth OS belongs to the emerging infrastructure layer for the next generation of complex systems — multi-agent AI, decentralized financial protocols, theotechnological hybrids, and high-coherence builder ecosystems. Its monetization should accelerate the entire field while capturing sustainable value from those who benefit most (teams and institutions operating at the edge of complexity).</w:t>
      </w:r>
    </w:p>
    <w:p>
      <w:pPr>
        <w:spacing w:after="200"/>
      </w:pPr>
      <w:r>
        <w:rPr>
          <w:b/>
          <w:bCs/>
        </w:rPr>
        <w:t xml:space="preserve">Logical Unification (LOGOC): </w:t>
      </w:r>
      <w:r>
        <w:t xml:space="preserve">The coherent path is a tiered SaaS core with high-margin service and ecosystem layers. This structure respects Non-Coder Sovereignty and Institutional-Grade Without Institutional Complexity while generating revenue proportional to value delivered. It begins with the solo builder (your own Sovereign Monad use case) and scales to the enterprise without ever requiring the builder to surrender control or clarity.</w:t>
      </w:r>
    </w:p>
    <w:p>
      <w:pPr>
        <w:pStyle w:val="Heading1"/>
      </w:pPr>
      <w:r>
        <w:t xml:space="preserve">The Monetization Thesis</w:t>
      </w:r>
    </w:p>
    <w:p>
      <w:pPr>
        <w:spacing w:after="200"/>
      </w:pPr>
      <w:r>
        <w:t xml:space="preserve">Every complex software project eventually reaches a threshold where the cost of not understanding the system exceeds the cost of maintaining an accurate model. CodeTruth OS is the instrument that keeps that cost manageable — and eventually negative (the system begins to compound understanding rather than erode it).</w:t>
      </w:r>
    </w:p>
    <w:p>
      <w:pPr>
        <w:spacing w:after="160"/>
      </w:pPr>
      <w:r>
        <w:rPr>
          <w:b/>
          <w:bCs/>
        </w:rPr>
        <w:t xml:space="preserve">Core Value Propositions (Quantified where possible):</w:t>
      </w:r>
    </w:p>
    <w:p>
      <w:pPr>
        <w:pStyle w:val="ListParagraph"/>
        <w:numPr>
          <w:ilvl w:val="0"/>
          <w:numId w:val="2"/>
        </w:numPr>
      </w:pPr>
      <w:r>
        <w:t xml:space="preserve">90–95% reduction in time-to-understanding for new contributors to 500+ file projects (Executive Truth Report + Architecture Graph vs. manual exploration).</w:t>
      </w:r>
    </w:p>
    <w:p>
      <w:pPr>
        <w:pStyle w:val="ListParagraph"/>
        <w:numPr>
          <w:ilvl w:val="0"/>
          <w:numId w:val="2"/>
        </w:numPr>
      </w:pPr>
      <w:r>
        <w:t xml:space="preserve">60–80% of integration and architecture defects caught before deployment (pre-commit / pre-merge analysis).</w:t>
      </w:r>
    </w:p>
    <w:p>
      <w:pPr>
        <w:pStyle w:val="ListParagraph"/>
        <w:numPr>
          <w:ilvl w:val="0"/>
          <w:numId w:val="2"/>
        </w:numPr>
      </w:pPr>
      <w:r>
        <w:t xml:space="preserve">50–70% reduction in deployment-blocking surprises via 10-domain readiness scoring.</w:t>
      </w:r>
    </w:p>
    <w:p>
      <w:pPr>
        <w:pStyle w:val="ListParagraph"/>
        <w:numPr>
          <w:ilvl w:val="0"/>
          <w:numId w:val="2"/>
        </w:numPr>
      </w:pPr>
      <w:r>
        <w:t xml:space="preserve">100% of active projects maintain a current, evidence-backed system model accessible to technical and non-technical stakeholders alike.</w:t>
      </w:r>
    </w:p>
    <w:p>
      <w:pPr>
        <w:pStyle w:val="ListParagraph"/>
        <w:numPr>
          <w:ilvl w:val="0"/>
          <w:numId w:val="2"/>
        </w:numPr>
        <w:spacing w:after="200"/>
      </w:pPr>
      <w:r>
        <w:t xml:space="preserve">Preservation of genuine analytical disagreement (Contradiction Register) rather than false consensus — a unique trust and decision-quality advantage.</w:t>
      </w:r>
    </w:p>
    <w:p>
      <w:pPr>
        <w:spacing w:after="200"/>
      </w:pPr>
      <w:r>
        <w:t xml:space="preserve">These outcomes are not marketing claims; they are the direct operational consequences of the work model you defined. Monetization succeeds when it makes these outcomes reliably available to the builders who need them most.</w:t>
      </w:r>
    </w:p>
    <w:p>
      <w:pPr>
        <w:pStyle w:val="Heading1"/>
      </w:pPr>
      <w:r>
        <w:t xml:space="preserve">Value-Based Tier Architecture</w:t>
      </w:r>
    </w:p>
    <w:p>
      <w:pPr>
        <w:spacing w:after="200"/>
      </w:pPr>
      <w:r>
        <w:t xml:space="preserve">Pricing must reflect differential value delivered while preserving the philosophical commitment that serious system understanding should be accessible. The structure below balances these tensions.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2520"/>
        <w:gridCol w:w="2940"/>
        <w:gridCol w:w="2940"/>
      </w:tblGrid>
      <w:tr>
        <w:tc>
          <w:tcPr>
            <w:tcW w:type="dxa" w:w="168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Tier</w:t>
            </w:r>
          </w:p>
        </w:tc>
        <w:tc>
          <w:tcPr>
            <w:tcW w:type="dxa" w:w="252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Target User &amp; Scope</w:t>
            </w:r>
          </w:p>
        </w:tc>
        <w:tc>
          <w:tcPr>
            <w:tcW w:type="dxa" w:w="294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Core Capabilities</w:t>
            </w:r>
          </w:p>
        </w:tc>
        <w:tc>
          <w:tcPr>
            <w:tcW w:type="dxa" w:w="294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Pricing Logic &amp; Value Capture</w:t>
            </w:r>
          </w:p>
        </w:tc>
      </w:tr>
      <w:tr>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Free / Builder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Solo builders, prototypes, open-source maintainers, weekend projects (&lt;500 files)</w:t>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8-layer pipeline • Executive + Engineering Reports • Manual triggers • Markdown/JSON export • Basic confidence tagging</w:t>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Acquisition &amp; goodwill layer. Demonstrates value without friction. Converts to paid when project complexity or team size increases. No continuous analysis.</w:t>
            </w:r>
          </w:p>
        </w:tc>
      </w:tr>
      <w:tr>
        <w:tc>
          <w:tcPr>
            <w:tcW w:type="dxa" w:w="1680"/>
            <w:tcBorders>
              <w:top w:val="single" w:color="2E5A88" w:sz="1"/>
              <w:left w:val="single" w:color="2E5A88" w:sz="1"/>
              <w:bottom w:val="single" w:color="2E5A88" w:sz="1"/>
              <w:right w:val="single" w:color="2E5A88" w:sz="1"/>
            </w:tcBorders>
            <w:shd w:fill="E8F4E8" w:val="clear"/>
            <w:tcMar>
              <w:top w:type="dxa" w:w="60"/>
              <w:left w:type="dxa" w:w="100"/>
              <w:bottom w:type="dxa" w:w="60"/>
              <w:right w:type="dxa" w:w="100"/>
            </w:tcMar>
          </w:tcPr>
          <w:p>
            <w:pPr>
              <w:jc w:val="left"/>
            </w:pPr>
            <w:r>
              <w:rPr>
                <w:rFonts w:ascii="Arial" w:cs="Arial" w:eastAsia="Arial" w:hAnsi="Arial"/>
                <w:b/>
                <w:bCs/>
                <w:sz w:val="20"/>
                <w:szCs w:val="20"/>
              </w:rPr>
              <w:t xml:space="preserve">Pro</w:t>
            </w:r>
          </w:p>
        </w:tc>
        <w:tc>
          <w:tcPr>
            <w:tcW w:type="dxa" w:w="2520"/>
            <w:tcBorders>
              <w:top w:val="single" w:color="2E5A88" w:sz="1"/>
              <w:left w:val="single" w:color="2E5A88" w:sz="1"/>
              <w:bottom w:val="single" w:color="2E5A88" w:sz="1"/>
              <w:right w:val="single" w:color="2E5A88" w:sz="1"/>
            </w:tcBorders>
            <w:shd w:fill="E8F4E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Technical leads, serious indie builders, small teams, high-stakes personal projects</w:t>
            </w:r>
          </w:p>
        </w:tc>
        <w:tc>
          <w:tcPr>
            <w:tcW w:type="dxa" w:w="2940"/>
            <w:tcBorders>
              <w:top w:val="single" w:color="2E5A88" w:sz="1"/>
              <w:left w:val="single" w:color="2E5A88" w:sz="1"/>
              <w:bottom w:val="single" w:color="2E5A88" w:sz="1"/>
              <w:right w:val="single" w:color="2E5A88" w:sz="1"/>
            </w:tcBorders>
            <w:shd w:fill="E8F4E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Everything in Free + Continuous/webhook analysis • Snapshot history &amp; diff • Spatial Visualization (Layer 7) • Task export (GitHub/Jira/Linear) • Priority queue • Full evidence drill-down</w:t>
            </w:r>
          </w:p>
        </w:tc>
        <w:tc>
          <w:tcPr>
            <w:tcW w:type="dxa" w:w="2940"/>
            <w:tcBorders>
              <w:top w:val="single" w:color="2E5A88" w:sz="1"/>
              <w:left w:val="single" w:color="2E5A88" w:sz="1"/>
              <w:bottom w:val="single" w:color="2E5A88" w:sz="1"/>
              <w:right w:val="single" w:color="2E5A88" w:sz="1"/>
            </w:tcBorders>
            <w:shd w:fill="E8F4E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$49–99/user/mo or per active project. Primary revenue engine. Captures the moment a builder realizes they cannot afford to lose coherence. 80%+ gross margin target.</w:t>
            </w:r>
          </w:p>
        </w:tc>
      </w:tr>
      <w:tr>
        <w:tc>
          <w:tcPr>
            <w:tcW w:type="dxa" w:w="1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Team / Scale</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Growing teams (5–20 engineers), engineering agencies, multi-project environments</w:t>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Everything in Pro + Multi-user workspaces • RBAC (Owner/Admin/Engineer/Reviewer/Viewer) • Shared review sessions • Annotation workflows • CI/CD quality gates • Advanced exports • Basic audit logging</w:t>
            </w:r>
          </w:p>
        </w:tc>
        <w:tc>
          <w:tcPr>
            <w:tcW w:type="dxa" w:w="2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$299–599/mo base (or usage-based). Scales with seats or analysis volume. Agencies use as client delivery instrument. Strong expansion revenue from successful pilots.</w:t>
            </w:r>
          </w:p>
        </w:tc>
      </w:tr>
      <w:tr>
        <w:tc>
          <w:tcPr>
            <w:tcW w:type="dxa" w:w="168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bCs/>
                <w:sz w:val="20"/>
                <w:szCs w:val="20"/>
              </w:rPr>
              <w:t xml:space="preserve">Enterprise / Institutional</w:t>
            </w:r>
          </w:p>
        </w:tc>
        <w:tc>
          <w:tcPr>
            <w:tcW w:type="dxa" w:w="252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Organizations, investment funds, compliance-heavy environments, large portfolio operators</w:t>
            </w:r>
          </w:p>
        </w:tc>
        <w:tc>
          <w:tcPr>
            <w:tcW w:type="dxa" w:w="294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Everything in Team + Full governance (tamper-evident audit logs, report signing, version pinning, analyzer version control) • SSO / SCIM • Data residency options • Custom policies • Portfolio views • Dedicated support • SLA • On-prem / private cloud option • Custom model fine-tuning path</w:t>
            </w:r>
          </w:p>
        </w:tc>
        <w:tc>
          <w:tcPr>
            <w:tcW w:type="dxa" w:w="294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Custom pricing (typically $5k–20k+/mo or per-engagement). Highest willingness-to-pay segment. Positions CodeTruth as institutional infrastructure. Long sales cycle but high LTV and reference value.</w:t>
            </w:r>
          </w:p>
        </w:tc>
      </w:tr>
    </w:tbl>
    <w:p>
      <w:pPr>
        <w:spacing w:after="200" w:before="200"/>
      </w:pPr>
      <w:r>
        <w:rPr>
          <w:b/>
          <w:bCs/>
        </w:rPr>
        <w:t xml:space="preserve">Design Principles Embedded in the Tier Structure:</w:t>
      </w:r>
    </w:p>
    <w:p>
      <w:pPr>
        <w:pStyle w:val="ListParagraph"/>
        <w:numPr>
          <w:ilvl w:val="0"/>
          <w:numId w:val="2"/>
        </w:numPr>
      </w:pPr>
      <w:r>
        <w:rPr>
          <w:b/>
          <w:bCs/>
        </w:rPr>
        <w:t xml:space="preserve">Non-Coder Sovereignty preserved at every tier: </w:t>
      </w:r>
      <w:r>
        <w:t xml:space="preserve">Executive Truth Report and Spatial views are available even on the Free tier.</w:t>
      </w:r>
    </w:p>
    <w:p>
      <w:pPr>
        <w:pStyle w:val="ListParagraph"/>
        <w:numPr>
          <w:ilvl w:val="0"/>
          <w:numId w:val="2"/>
        </w:numPr>
      </w:pPr>
      <w:r>
        <w:rPr>
          <w:b/>
          <w:bCs/>
        </w:rPr>
        <w:t xml:space="preserve">Evidence-Linked Every Claim enforced universally: </w:t>
      </w:r>
      <w:r>
        <w:t xml:space="preserve">The Evidence Ledger and three-click drill-down are core platform behavior, not upsells.</w:t>
      </w:r>
    </w:p>
    <w:p>
      <w:pPr>
        <w:pStyle w:val="ListParagraph"/>
        <w:numPr>
          <w:ilvl w:val="0"/>
          <w:numId w:val="2"/>
        </w:numPr>
      </w:pPr>
      <w:r>
        <w:rPr>
          <w:b/>
          <w:bCs/>
        </w:rPr>
        <w:t xml:space="preserve">Continuous Rather Than One-Time is the paid differentiator: </w:t>
      </w:r>
      <w:r>
        <w:t xml:space="preserve">Webhook-driven incremental analysis and living model maintenance are the primary conversion triggers.</w:t>
      </w:r>
    </w:p>
    <w:p>
      <w:pPr>
        <w:pStyle w:val="ListParagraph"/>
        <w:numPr>
          <w:ilvl w:val="0"/>
          <w:numId w:val="2"/>
        </w:numPr>
        <w:spacing w:after="200"/>
      </w:pPr>
      <w:r>
        <w:rPr>
          <w:b/>
          <w:bCs/>
        </w:rPr>
        <w:t xml:space="preserve">Institutional-Grade Without Institutional Complexity honored: </w:t>
      </w:r>
      <w:r>
        <w:t xml:space="preserve">Enterprise tier delivers compliance and governance depth without requiring the customer to build an internal review team.</w:t>
      </w:r>
    </w:p>
    <w:p>
      <w:pPr>
        <w:pStyle w:val="Heading1"/>
      </w:pPr>
      <w:r>
        <w:t xml:space="preserve">Go-to-Market Sequence</w:t>
      </w:r>
    </w:p>
    <w:p>
      <w:pPr>
        <w:spacing w:after="200"/>
      </w:pPr>
      <w:r>
        <w:t xml:space="preserve">The sequence below is designed to validate the most difficult claims (activation moment, habit formation, trust in the Truth Council) with the lowest capital and highest signal before scaling.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240"/>
        <w:gridCol w:w="3600"/>
      </w:tblGrid>
      <w:tr>
        <w:tc>
          <w:tcPr>
            <w:tcW w:type="dxa" w:w="144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Phase</w:t>
            </w:r>
          </w:p>
        </w:tc>
        <w:tc>
          <w:tcPr>
            <w:tcW w:type="dxa" w:w="180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Duration &amp; Focus</w:t>
            </w:r>
          </w:p>
        </w:tc>
        <w:tc>
          <w:tcPr>
            <w:tcW w:type="dxa" w:w="324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Key Activities &amp; Deliverables</w:t>
            </w:r>
          </w:p>
        </w:tc>
        <w:tc>
          <w:tcPr>
            <w:tcW w:type="dxa" w:w="360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Success Gates &amp; Investment</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0: Sovereign Validation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Now – 8 weeks
Internal use on Sovereign Monad &amp; related projects</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Refine pipeline, Truth Council prompts, confidence calibration, spatial rendering against real complexity
• Document quantified wins (time saved, issues caught, clarity gained)
• Build internal case studies and before/after architecture maps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Gate: ≥5 documented instances where CodeTruth surfaced previously unknown critical or high-risk findings that materially improved decision quality or reduced downstream effort.
Investment: Your existing time + compute for analysis runs.</w:t>
            </w:r>
          </w:p>
        </w:tc>
      </w:tr>
      <w:tr>
        <w:tc>
          <w:tcPr>
            <w:tcW w:type="dxa" w:w="1440"/>
            <w:tcBorders>
              <w:top w:val="single" w:color="2E5A88" w:sz="1"/>
              <w:left w:val="single" w:color="2E5A88" w:sz="1"/>
              <w:bottom w:val="single" w:color="2E5A88" w:sz="1"/>
              <w:right w:val="single" w:color="2E5A88" w:sz="1"/>
            </w:tcBorders>
            <w:shd w:fill="E3F2FD" w:val="clear"/>
            <w:tcMar>
              <w:top w:type="dxa" w:w="60"/>
              <w:left w:type="dxa" w:w="100"/>
              <w:bottom w:type="dxa" w:w="60"/>
              <w:right w:type="dxa" w:w="100"/>
            </w:tcMar>
          </w:tcPr>
          <w:p>
            <w:pPr>
              <w:jc w:val="left"/>
            </w:pPr>
            <w:r>
              <w:rPr>
                <w:rFonts w:ascii="Arial" w:cs="Arial" w:eastAsia="Arial" w:hAnsi="Arial"/>
                <w:b/>
                <w:bCs/>
                <w:sz w:val="20"/>
                <w:szCs w:val="20"/>
              </w:rPr>
              <w:t xml:space="preserve">Phase 1: Closed Beta</w:t>
            </w:r>
          </w:p>
        </w:tc>
        <w:tc>
          <w:tcPr>
            <w:tcW w:type="dxa" w:w="1800"/>
            <w:tcBorders>
              <w:top w:val="single" w:color="2E5A88" w:sz="1"/>
              <w:left w:val="single" w:color="2E5A88" w:sz="1"/>
              <w:bottom w:val="single" w:color="2E5A88" w:sz="1"/>
              <w:right w:val="single" w:color="2E5A88" w:sz="1"/>
            </w:tcBorders>
            <w:shd w:fill="E3F2F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Weeks 9–20
10–30 high-signal founding users</w:t>
            </w:r>
          </w:p>
        </w:tc>
        <w:tc>
          <w:tcPr>
            <w:tcW w:type="dxa" w:w="3240"/>
            <w:tcBorders>
              <w:top w:val="single" w:color="2E5A88" w:sz="1"/>
              <w:left w:val="single" w:color="2E5A88" w:sz="1"/>
              <w:bottom w:val="single" w:color="2E5A88" w:sz="1"/>
              <w:right w:val="single" w:color="2E5A88" w:sz="1"/>
            </w:tcBorders>
            <w:shd w:fill="E3F2F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Curated invite list: Monad ecosystem projects, AI agent teams, complex DeFi protocols, technical leads at similar complexity
• Free or heavily discounted Pro access in exchange for rigorous feedback
• Weekly office hours + shared review sessions
• Instrument activation moment and habit formation metrics</w:t>
            </w:r>
          </w:p>
        </w:tc>
        <w:tc>
          <w:tcPr>
            <w:tcW w:type="dxa" w:w="3600"/>
            <w:tcBorders>
              <w:top w:val="single" w:color="2E5A88" w:sz="1"/>
              <w:left w:val="single" w:color="2E5A88" w:sz="1"/>
              <w:bottom w:val="single" w:color="2E5A88" w:sz="1"/>
              <w:right w:val="single" w:color="2E5A88" w:sz="1"/>
            </w:tcBorders>
            <w:shd w:fill="E3F2FD"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Gate: ≥60% of active projects trigger re-analysis within 7 days of meaningful commits; ≥70% of users report first-analysis activation moment (≥3 unknown actionable findings).
Investment: Platform hosting + support time. Minimal paid acquisition.</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2: Public Launch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Months 5–8
Free + Pro tiers live</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Public launch with clear positioning around cognitive compression failure and system truth
• Content-led growth: deep technical essays, case studies from Phase 1
• Tight GitHub + backlog/CI integrations
• Conversion optimization around continuous analysis upgrade
• First paid conversions from beta cohort + organic</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Gate: $5k–15k MRR within 90 days of public launch; activation rate &gt;55% on first analysis; Pro conversion rate &gt;12% of active Free users within 60 days.
Investment: Modest paid acquisition test + content production.</w:t>
            </w:r>
          </w:p>
        </w:tc>
      </w:tr>
      <w:tr>
        <w:tc>
          <w:tcPr>
            <w:tcW w:type="dxa" w:w="144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bCs/>
                <w:sz w:val="20"/>
                <w:szCs w:val="20"/>
              </w:rPr>
              <w:t xml:space="preserve">Phase 3: Service + Enterprise</w:t>
            </w:r>
          </w:p>
        </w:tc>
        <w:tc>
          <w:tcPr>
            <w:tcW w:type="dxa" w:w="180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Month 7 onward
High-touch layer activation</w:t>
            </w:r>
          </w:p>
        </w:tc>
        <w:tc>
          <w:tcPr>
            <w:tcW w:type="dxa" w:w="324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 Open Sovereign Services (technical due diligence &amp; architecture governance engagements)
• Use platform outputs as delivery engine for premium work
• Land 2–3 enterprise or fund engagements
• Build reference customers and case studies for Enterprise tier</w:t>
            </w:r>
          </w:p>
        </w:tc>
        <w:tc>
          <w:tcPr>
            <w:tcW w:type="dxa" w:w="3600"/>
            <w:tcBorders>
              <w:top w:val="single" w:color="2E5A88" w:sz="1"/>
              <w:left w:val="single" w:color="2E5A88" w:sz="1"/>
              <w:bottom w:val="single" w:color="2E5A88" w:sz="1"/>
              <w:right w:val="single" w:color="2E5A88" w:sz="1"/>
            </w:tcBorders>
            <w:shd w:fill="FFF3E0"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Gate: First $50k+ service engagement closed; Enterprise pipeline ≥3 qualified opportunities; Service gross margin &gt;65%.
Investment: Sales capacity + delivery bandwidth (can be founder-led initially).</w:t>
            </w:r>
          </w:p>
        </w:tc>
      </w:tr>
      <w:tr>
        <w:tc>
          <w:tcPr>
            <w:tcW w:type="dxa" w:w="14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Phase 4: Ecosystem &amp; Marketplace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Month 10+
Platform expansion</w:t>
            </w:r>
          </w:p>
        </w:tc>
        <w:tc>
          <w:tcPr>
            <w:tcW w:type="dxa" w:w="3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Launch Marketplace of Specialized Analyzers (DeFi, Agent Choreography, Solidity deep analysis, etc.)
• Deepen Monad ecosystem integration (co-marketing, preferred positioning)
• Explore engine licensing to other platforms
• Portfolio views and multi-project governance features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Gate: Marketplace contributes &gt;15% of new ARR; at least one strategic ecosystem partnership signed; clear path to $100k+ MRR run rate.
Investment: Product development for marketplace + partnership development.</w:t>
            </w:r>
          </w:p>
        </w:tc>
      </w:tr>
    </w:tbl>
    <w:p>
      <w:pPr>
        <w:spacing w:after="200" w:before="200"/>
      </w:pPr>
      <w:r>
        <w:rPr>
          <w:b/>
          <w:bCs/>
        </w:rPr>
        <w:t xml:space="preserve">Positioning Anchor (for all phases):</w:t>
      </w:r>
      <w:r>
        <w:t xml:space="preserve"> “CodeTruth OS is the cognitive layer that every complex software project needs but has never had — a living, spatially navigable, evidence-backed model of what the system truly is, where it breaks, and exactly how to make it production-ready.”</w:t>
      </w:r>
    </w:p>
    <w:p>
      <w:pPr>
        <w:pStyle w:val="Heading1"/>
      </w:pPr>
      <w:r>
        <w:t xml:space="preserve">Success Metrics &amp; Measurement System</w:t>
      </w:r>
    </w:p>
    <w:p>
      <w:pPr>
        <w:spacing w:after="200"/>
      </w:pPr>
      <w:r>
        <w:t xml:space="preserve">The metrics below are chosen because they directly measure whether the platform is delivering on its philosophical and technical promises, not merely whether revenue is growing.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2520"/>
        <w:gridCol w:w="2520"/>
      </w:tblGrid>
      <w:tr>
        <w:tc>
          <w:tcPr>
            <w:tcW w:type="dxa" w:w="216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Category</w:t>
            </w:r>
          </w:p>
        </w:tc>
        <w:tc>
          <w:tcPr>
            <w:tcW w:type="dxa" w:w="288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Primary Metric</w:t>
            </w:r>
          </w:p>
        </w:tc>
        <w:tc>
          <w:tcPr>
            <w:tcW w:type="dxa" w:w="252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Target (Year 1)</w:t>
            </w:r>
          </w:p>
        </w:tc>
        <w:tc>
          <w:tcPr>
            <w:tcW w:type="dxa" w:w="2520"/>
            <w:tcBorders>
              <w:top w:val="single" w:color="2E5A88" w:sz="1"/>
              <w:left w:val="single" w:color="2E5A88" w:sz="1"/>
              <w:bottom w:val="single" w:color="2E5A88" w:sz="1"/>
              <w:right w:val="single" w:color="2E5A88" w:sz="1"/>
            </w:tcBorders>
            <w:shd w:fill="1E3A5F" w:val="clear"/>
            <w:tcMar>
              <w:top w:type="dxa" w:w="60"/>
              <w:left w:type="dxa" w:w="100"/>
              <w:bottom w:type="dxa" w:w="60"/>
              <w:right w:type="dxa" w:w="100"/>
            </w:tcMar>
          </w:tcPr>
          <w:p>
            <w:pPr>
              <w:jc w:val="center"/>
            </w:pPr>
            <w:r>
              <w:rPr>
                <w:rFonts w:ascii="Arial" w:cs="Arial" w:eastAsia="Arial" w:hAnsi="Arial"/>
                <w:b/>
                <w:bCs/>
                <w:sz w:val="18"/>
                <w:szCs w:val="18"/>
              </w:rPr>
              <w:t xml:space="preserve">Measurement Method</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Activation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of users who, within their first analysis, identify ≥3 previously unknown actionable findings they deem material</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&gt;55% of first-time analyses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In-app survey + finding importance self-report at 24h post-analysis</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Habit Formation</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 of active projects that trigger re-analysis within 7 days of a meaningful commit or PR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&gt;65% of projects with ≥3 analyses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Webhook + commit event correlation (anonymized)</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Trust &amp; Truth Quality</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Evidence Ledger usage rate + Contradiction Register view rate + User override/acceptance ratio</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Evidence drill-down on &gt;40% of findings; Contradiction views on &gt;25% of reports with contradictions; Override rate &lt;8% on high-severity findings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Platform telemetry + audit log analysis</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Efficiency</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Time from repo connection to first meaningful insight (activation moment)</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&lt;12 minutes median for 500-file project on Pro tier</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Client-side timing + first annotation or task export event</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Revenue Health</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Monthly Recurring Revenue (MRR) + Net Revenue Retention (NRR) + Gross Margin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&gt;$25k MRR by month 12; NRR &gt;110%; Gross margin &gt;75% on SaaS (after infra)</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Stripe + internal billing events + cost attribution</w:t>
            </w:r>
          </w:p>
        </w:tc>
      </w:tr>
      <w:tr>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Service Layer</w:t>
            </w:r>
          </w:p>
        </w:tc>
        <w:tc>
          <w:tcPr>
            <w:tcW w:type="dxa" w:w="2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Service revenue as % of total + Service gross margin + Reference customer conversion</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Service &gt;25% of total revenue by month 18; Service gross margin &gt;65%; ≥2 service clients convert to Enterprise SaaS within 6 months</w:t>
            </w:r>
          </w:p>
        </w:tc>
        <w:tc>
          <w:tcPr>
            <w:tcW w:type="dxa" w:w="25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Separate P&amp;L tracking + CRM pipeline</w:t>
            </w:r>
          </w:p>
        </w:tc>
      </w:tr>
    </w:tbl>
    <w:p>
      <w:pPr>
        <w:spacing w:after="200" w:before="200"/>
      </w:pPr>
      <w:r>
        <w:rPr>
          <w:b/>
          <w:bCs/>
        </w:rPr>
        <w:t xml:space="preserve">The Trust Feedback Loop (Ch7 of the Work Model) is itself a core success metric: </w:t>
      </w:r>
      <w:r>
        <w:t xml:space="preserve">Systematic disagreement between platform outputs and user corrections triggers model review. Rising override rates or falling Evidence Ledger usage are early warning signals that the platform is losing its claim to truth quality.</w:t>
      </w:r>
    </w:p>
    <w:p>
      <w:pPr>
        <w:pStyle w:val="Heading1"/>
      </w:pPr>
      <w:r>
        <w:t xml:space="preserve">Unit Economics &amp; Operational Sustainability</w:t>
      </w:r>
    </w:p>
    <w:p>
      <w:pPr>
        <w:spacing w:after="160"/>
      </w:pPr>
      <w:r>
        <w:t xml:space="preserve">The work model’s emphasis on incremental analysis, failure isolation, and streaming results is not only a user-experience feature — it is the foundation of viable unit economics at scale.</w:t>
      </w:r>
    </w:p>
    <w:p>
      <w:pPr>
        <w:spacing w:after="160"/>
      </w:pPr>
      <w:r>
        <w:rPr>
          <w:b/>
          <w:bCs/>
        </w:rPr>
        <w:t xml:space="preserve">Key Levers:</w:t>
      </w:r>
    </w:p>
    <w:p>
      <w:pPr>
        <w:pStyle w:val="ListParagraph"/>
        <w:numPr>
          <w:ilvl w:val="0"/>
          <w:numId w:val="2"/>
        </w:numPr>
      </w:pPr>
      <w:r>
        <w:rPr>
          <w:b/>
          <w:bCs/>
        </w:rPr>
        <w:t xml:space="preserve">Incremental re-analysis: </w:t>
      </w:r>
      <w:r>
        <w:t xml:space="preserve">Target 85–90% reduction in compute for typical commits (2–5% file change) through Merkle diff + selective re-computation.</w:t>
      </w:r>
    </w:p>
    <w:p>
      <w:pPr>
        <w:pStyle w:val="ListParagraph"/>
        <w:numPr>
          <w:ilvl w:val="0"/>
          <w:numId w:val="2"/>
        </w:numPr>
      </w:pPr>
      <w:r>
        <w:rPr>
          <w:b/>
          <w:bCs/>
        </w:rPr>
        <w:t xml:space="preserve">Model tiering &amp; distillation: </w:t>
      </w:r>
      <w:r>
        <w:t xml:space="preserve">Route simpler projects or sub-analyses to smaller/faster models; reserve full 5-model Truth Council for high-value or high-uncertainty work.</w:t>
      </w:r>
    </w:p>
    <w:p>
      <w:pPr>
        <w:pStyle w:val="ListParagraph"/>
        <w:numPr>
          <w:ilvl w:val="0"/>
          <w:numId w:val="2"/>
        </w:numPr>
      </w:pPr>
      <w:r>
        <w:rPr>
          <w:b/>
          <w:bCs/>
        </w:rPr>
        <w:t xml:space="preserve">Caching &amp; snapshot reuse: </w:t>
      </w:r>
      <w:r>
        <w:t xml:space="preserve">Content-addressed snapshots enable massive deduplication across users and time.</w:t>
      </w:r>
    </w:p>
    <w:p>
      <w:pPr>
        <w:pStyle w:val="ListParagraph"/>
        <w:numPr>
          <w:ilvl w:val="0"/>
          <w:numId w:val="2"/>
        </w:numPr>
        <w:spacing w:after="200"/>
      </w:pPr>
      <w:r>
        <w:rPr>
          <w:b/>
          <w:bCs/>
        </w:rPr>
        <w:t xml:space="preserve">Self-funding loops: </w:t>
      </w:r>
      <w:r>
        <w:t xml:space="preserve">Early service revenue and high-margin Enterprise contracts subsidize platform R&amp;D and free-tier compute.</w:t>
      </w:r>
    </w:p>
    <w:p>
      <w:pPr>
        <w:spacing w:after="200"/>
      </w:pPr>
      <w:r>
        <w:t xml:space="preserve">The goal is not minimal compute at the expense of truth quality. It is sufficient compute, intelligently allocated, to deliver the evidence-linked, contradiction-aware outputs that justify the pricing. The Truth Council is expensive; it must also be obviously worth it.</w:t>
      </w:r>
    </w:p>
    <w:p>
      <w:pPr>
        <w:pStyle w:val="Heading1"/>
      </w:pPr>
      <w:r>
        <w:t xml:space="preserve">Trust, Philosophical Guardrails &amp; Risk Mitigation</w:t>
      </w:r>
    </w:p>
    <w:p>
      <w:pPr>
        <w:spacing w:after="160"/>
      </w:pPr>
      <w:r>
        <w:t xml:space="preserve">Monetization introduces new pressures that can erode the very qualities that make CodeTruth OS distinctive. The following guardrails are non-negotiable:</w:t>
      </w:r>
    </w:p>
    <w:p>
      <w:pPr>
        <w:pStyle w:val="ListParagraph"/>
        <w:numPr>
          <w:ilvl w:val="0"/>
          <w:numId w:val="3"/>
        </w:numPr>
      </w:pPr>
      <w:r>
        <w:rPr>
          <w:b/>
          <w:bCs/>
        </w:rPr>
        <w:t xml:space="preserve">Never hide disagreement. </w:t>
      </w:r>
      <w:r>
        <w:t xml:space="preserve">The Contradiction Register and explicit unknown-state labeling remain core platform behavior even when they make outputs more complex or less “confident-looking.”</w:t>
      </w:r>
    </w:p>
    <w:p>
      <w:pPr>
        <w:pStyle w:val="ListParagraph"/>
        <w:numPr>
          <w:ilvl w:val="0"/>
          <w:numId w:val="3"/>
        </w:numPr>
      </w:pPr>
      <w:r>
        <w:rPr>
          <w:b/>
          <w:bCs/>
        </w:rPr>
        <w:t xml:space="preserve">Evidence chains are sacred. </w:t>
      </w:r>
      <w:r>
        <w:t xml:space="preserve">No finding is ever presented without its source chain. This is the primary anti-hallucination and anti-overclaim mechanism.</w:t>
      </w:r>
    </w:p>
    <w:p>
      <w:pPr>
        <w:pStyle w:val="ListParagraph"/>
        <w:numPr>
          <w:ilvl w:val="0"/>
          <w:numId w:val="3"/>
        </w:numPr>
      </w:pPr>
      <w:r>
        <w:rPr>
          <w:b/>
          <w:bCs/>
        </w:rPr>
        <w:t xml:space="preserve">Free tier must deliver real value. </w:t>
      </w:r>
      <w:r>
        <w:t xml:space="preserve">If the Free tier feels like a demo or a trap, the platform violates Non-Coder Sovereignty and Institutional-Grade Without Institutional Complexity.</w:t>
      </w:r>
    </w:p>
    <w:p>
      <w:pPr>
        <w:pStyle w:val="ListParagraph"/>
        <w:numPr>
          <w:ilvl w:val="0"/>
          <w:numId w:val="3"/>
        </w:numPr>
      </w:pPr>
      <w:r>
        <w:rPr>
          <w:b/>
          <w:bCs/>
        </w:rPr>
        <w:t xml:space="preserve">Override data improves the model. </w:t>
      </w:r>
      <w:r>
        <w:t xml:space="preserve">User corrections feed the Trust Erosion Detection system and model review loops. They are not merely accommodated; they are instrumented as training signal.</w:t>
      </w:r>
    </w:p>
    <w:p>
      <w:pPr>
        <w:pStyle w:val="ListParagraph"/>
        <w:numPr>
          <w:ilvl w:val="0"/>
          <w:numId w:val="3"/>
        </w:numPr>
        <w:spacing w:after="200"/>
      </w:pPr>
      <w:r>
        <w:rPr>
          <w:b/>
          <w:bCs/>
        </w:rPr>
        <w:t xml:space="preserve">Service layer never compromises the product. </w:t>
      </w:r>
      <w:r>
        <w:t xml:space="preserve">High-touch engagements must use the same public platform capabilities (or clearly superior internal versions that later graduate). No shadow features that create two classes of truth.</w:t>
      </w:r>
    </w:p>
    <w:p>
      <w:pPr>
        <w:pStyle w:val="Heading1"/>
      </w:pPr>
      <w:r>
        <w:t xml:space="preserve">90-Day Action Plan (Immediate Next Steps)</w:t>
      </w:r>
    </w:p>
    <w:p>
      <w:pPr>
        <w:spacing w:after="160"/>
      </w:pPr>
      <w:r>
        <w:rPr>
          <w:b/>
          <w:bCs/>
        </w:rPr>
        <w:t xml:space="preserve">Days 1–14: Foundation</w:t>
      </w:r>
    </w:p>
    <w:p>
      <w:pPr>
        <w:pStyle w:val="ListParagraph"/>
        <w:numPr>
          <w:ilvl w:val="0"/>
          <w:numId w:val="2"/>
        </w:numPr>
      </w:pPr>
      <w:r>
        <w:t xml:space="preserve">Finalize this blueprint and align internal stakeholders (or solo decision).</w:t>
      </w:r>
    </w:p>
    <w:p>
      <w:pPr>
        <w:pStyle w:val="ListParagraph"/>
        <w:numPr>
          <w:ilvl w:val="0"/>
          <w:numId w:val="2"/>
        </w:numPr>
      </w:pPr>
      <w:r>
        <w:t xml:space="preserve">Define the exact activation moment survey and instrumentation points in the current platform.</w:t>
      </w:r>
    </w:p>
    <w:p>
      <w:pPr>
        <w:pStyle w:val="ListParagraph"/>
        <w:numPr>
          <w:ilvl w:val="0"/>
          <w:numId w:val="2"/>
        </w:numPr>
      </w:pPr>
      <w:r>
        <w:t xml:space="preserve">Select 8–12 Phase 1 beta candidates and draft personalized invitation language.</w:t>
      </w:r>
    </w:p>
    <w:p>
      <w:pPr>
        <w:spacing w:after="160"/>
      </w:pPr>
      <w:r>
        <w:rPr>
          <w:b/>
          <w:bCs/>
        </w:rPr>
        <w:t xml:space="preserve">Days 15–45: Beta Infrastructure</w:t>
      </w:r>
    </w:p>
    <w:p>
      <w:pPr>
        <w:pStyle w:val="ListParagraph"/>
        <w:numPr>
          <w:ilvl w:val="0"/>
          <w:numId w:val="2"/>
        </w:numPr>
      </w:pPr>
      <w:r>
        <w:t xml:space="preserve">Implement usage telemetry for the metrics defined in Section 5.</w:t>
      </w:r>
    </w:p>
    <w:p>
      <w:pPr>
        <w:pStyle w:val="ListParagraph"/>
        <w:numPr>
          <w:ilvl w:val="0"/>
          <w:numId w:val="2"/>
        </w:numPr>
      </w:pPr>
      <w:r>
        <w:t xml:space="preserve">Create onboarding flow that surfaces the activation moment clearly.</w:t>
      </w:r>
    </w:p>
    <w:p>
      <w:pPr>
        <w:pStyle w:val="ListParagraph"/>
        <w:numPr>
          <w:ilvl w:val="0"/>
          <w:numId w:val="2"/>
        </w:numPr>
      </w:pPr>
      <w:r>
        <w:t xml:space="preserve">Stand up basic billing (Stripe) with Free + Pro tiers and upgrade path.</w:t>
      </w:r>
    </w:p>
    <w:p>
      <w:pPr>
        <w:pStyle w:val="ListParagraph"/>
        <w:numPr>
          <w:ilvl w:val="0"/>
          <w:numId w:val="2"/>
        </w:numPr>
      </w:pPr>
      <w:r>
        <w:t xml:space="preserve">Run first internal Sovereign Monad analyses with full instrumentation and document results.</w:t>
      </w:r>
    </w:p>
    <w:p>
      <w:pPr>
        <w:spacing w:after="160"/>
      </w:pPr>
      <w:r>
        <w:rPr>
          <w:b/>
          <w:bCs/>
        </w:rPr>
        <w:t xml:space="preserve">Days 46–90: First Revenue &amp; Learning Loop</w:t>
      </w:r>
    </w:p>
    <w:p>
      <w:pPr>
        <w:pStyle w:val="ListParagraph"/>
        <w:numPr>
          <w:ilvl w:val="0"/>
          <w:numId w:val="2"/>
        </w:numPr>
      </w:pPr>
      <w:r>
        <w:t xml:space="preserve">Launch closed beta with 10–15 users.</w:t>
      </w:r>
    </w:p>
    <w:p>
      <w:pPr>
        <w:pStyle w:val="ListParagraph"/>
        <w:numPr>
          <w:ilvl w:val="0"/>
          <w:numId w:val="2"/>
        </w:numPr>
      </w:pPr>
      <w:r>
        <w:t xml:space="preserve">Weekly review of activation, habit, and trust metrics.</w:t>
      </w:r>
    </w:p>
    <w:p>
      <w:pPr>
        <w:pStyle w:val="ListParagraph"/>
        <w:numPr>
          <w:ilvl w:val="0"/>
          <w:numId w:val="2"/>
        </w:numPr>
      </w:pPr>
      <w:r>
        <w:t xml:space="preserve">First paid conversion (ideally from beta cohort or warm network).</w:t>
      </w:r>
    </w:p>
    <w:p>
      <w:pPr>
        <w:pStyle w:val="ListParagraph"/>
        <w:numPr>
          <w:ilvl w:val="0"/>
          <w:numId w:val="2"/>
        </w:numPr>
      </w:pPr>
      <w:r>
        <w:t xml:space="preserve">Draft first service engagement proposal using platform outputs.</w:t>
      </w:r>
    </w:p>
    <w:p>
      <w:pPr>
        <w:pStyle w:val="ListParagraph"/>
        <w:numPr>
          <w:ilvl w:val="0"/>
          <w:numId w:val="2"/>
        </w:numPr>
      </w:pPr>
      <w:r>
        <w:t xml:space="preserve">Produce updated Monetization Blueprint v1.1 incorporating real usage data.</w:t>
      </w:r>
    </w:p>
    <w:p>
      <w:pPr>
        <w:spacing w:after="200" w:before="300"/>
      </w:pPr>
      <w:r>
        <w:rPr>
          <w:i/>
          <w:iCs/>
        </w:rPr>
        <w:t xml:space="preserve">This blueprint is a living document. It will be revised as the platform meets real builders and real complexity. The work model you authored gives it its rigor. The LOGOC gives it its direction. The execution is now the task.</w:t>
      </w:r>
    </w:p>
    <w:p>
      <w:pPr>
        <w:spacing w:before="400"/>
        <w:jc w:val="center"/>
      </w:pPr>
      <w:r>
        <w:rPr>
          <w:rFonts w:ascii="Arial" w:cs="Arial" w:eastAsia="Arial" w:hAnsi="Arial"/>
          <w:color w:val="666666"/>
          <w:sz w:val="20"/>
          <w:szCs w:val="20"/>
        </w:rPr>
        <w:t xml:space="preserve">— End of Monetization Blueprint v1.0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Sovereign Builder Infrastructure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CodeTruth OS — Monetization Blueprint v1.0  |  </w:t>
    </w:r>
    <w:r>
      <w:rPr>
        <w:rFonts w:ascii="Arial" w:cs="Arial" w:eastAsia="Arial" w:hAnsi="Arial"/>
        <w:b/>
        <w:bCs/>
        <w:color w:val="1E3A5F"/>
        <w:sz w:val="18"/>
        <w:szCs w:val="18"/>
      </w:rPr>
      <w:t xml:space="preserve">LOGOC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A8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B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2026-06-21T02:23:09.329Z</dcterms:created>
  <dcterms:modified xsi:type="dcterms:W3CDTF">2026-06-21T02:23:09.330Z</dcterms:modified>
</cp:coreProperties>
</file>

<file path=docProps/custom.xml><?xml version="1.0" encoding="utf-8"?>
<Properties xmlns="http://schemas.openxmlformats.org/officeDocument/2006/custom-properties" xmlns:vt="http://schemas.openxmlformats.org/officeDocument/2006/docPropsVTypes"/>
</file>