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hd w:fill="0D1117" w:val="clear"/>
        <w:spacing w:after="60"/>
      </w:pPr>
      <w:r>
        <w:rPr>
          <w:rFonts w:ascii="Arial" w:cs="Arial" w:eastAsia="Arial" w:hAnsi="Arial"/>
          <w:b/>
          <w:bCs/>
          <w:color w:val="C9A84C"/>
          <w:sz w:val="44"/>
          <w:szCs w:val="44"/>
        </w:rPr>
        <w:t xml:space="preserve">  REVENUE ARCHITECTURE REVISION  </w:t>
      </w:r>
    </w:p>
    <w:p>
      <w:pPr>
        <w:shd w:fill="1A2A3A" w:val="clear"/>
        <w:spacing w:after="60"/>
      </w:pPr>
      <w:r>
        <w:rPr>
          <w:rFonts w:ascii="Arial" w:cs="Arial" w:eastAsia="Arial" w:hAnsi="Arial"/>
          <w:color w:val="BBBBBB"/>
          <w:sz w:val="22"/>
          <w:szCs w:val="22"/>
        </w:rPr>
        <w:t xml:space="preserve">  Sovereign Monad Ecosystem  ·  Inflow &amp; Capital Layer Restructuring  ·  MOF Amendment v2.4  </w:t>
      </w:r>
    </w:p>
    <w:p>
      <w:pPr>
        <w:shd w:fill="0D1A24" w:val="clear"/>
        <w:spacing w:after="300"/>
      </w:pPr>
      <w:r>
        <w:rPr>
          <w:rFonts w:ascii="Arial" w:cs="Arial" w:eastAsia="Arial" w:hAnsi="Arial"/>
          <w:color w:val="C9A84C"/>
          <w:sz w:val="17"/>
          <w:szCs w:val="17"/>
        </w:rPr>
        <w:t xml:space="preserve">  SYSTEM THESIS: FLOW_REVERSAL | DATE: CYBERNETIC_ERA_2026 | STATUS: AMENDMENT PROPOSED  </w:t>
      </w:r>
    </w:p>
    <w:p>
      <w:pPr>
        <w:pBdr>
          <w:bottom w:val="single" w:color="C0392B" w:sz="6"/>
        </w:pBdr>
        <w:spacing w:after="160" w:before="160"/>
      </w:pPr>
    </w:p>
    <w:p>
      <w:pPr>
        <w:pStyle w:val="Heading1"/>
        <w:spacing w:after="200" w:before="400"/>
      </w:pPr>
      <w:r>
        <w:rPr>
          <w:rFonts w:ascii="Arial" w:cs="Arial" w:eastAsia="Arial" w:hAnsi="Arial"/>
          <w:b/>
          <w:bCs/>
          <w:color w:val="0D1117"/>
          <w:sz w:val="36"/>
          <w:szCs w:val="36"/>
        </w:rPr>
        <w:t xml:space="preserve">1. The Bootstrap Deadlock — Diagnosis</w:t>
      </w:r>
    </w:p>
    <w:p>
      <w:pPr>
        <w:spacing w:after="160"/>
      </w:pPr>
      <w:r>
        <w:rPr>
          <w:rFonts w:ascii="Arial" w:cs="Arial" w:eastAsia="Arial" w:hAnsi="Arial"/>
          <w:b w:val="false"/>
          <w:bCs w:val="false"/>
          <w:color w:val="222222"/>
          <w:sz w:val="22"/>
          <w:szCs w:val="22"/>
        </w:rPr>
        <w:t xml:space="preserve">The current Master Operating File v2.3.0 designates MonadSpin as THE single funnel (Layer 1, 'The Funnel') through which all external capital enters the organism. Combined with MEV Performance as the primary growth engine, this creates a critical structural vulnerability: a bootstrap deadlock in which no revenue source is operational at Phase 1a launch.</w:t>
      </w:r>
    </w:p>
    <w:p>
      <w:pPr>
        <w:spacing w:after="80"/>
      </w:pPr>
    </w:p>
    <w:p>
      <w:pPr>
        <w:pStyle w:val="Heading2"/>
        <w:spacing w:after="160" w:before="300"/>
      </w:pPr>
      <w:r>
        <w:rPr>
          <w:rFonts w:ascii="Arial" w:cs="Arial" w:eastAsia="Arial" w:hAnsi="Arial"/>
          <w:b/>
          <w:bCs/>
          <w:color w:val="C0392B"/>
          <w:sz w:val="26"/>
          <w:szCs w:val="26"/>
        </w:rPr>
        <w:t xml:space="preserve">1.1 — Current Revenue Sources vs. Live Status</w:t>
      </w:r>
    </w:p>
    <w:p>
      <w:pPr>
        <w:spacing w:after="160"/>
      </w:pPr>
      <w:r>
        <w:rPr>
          <w:rFonts w:ascii="Arial" w:cs="Arial" w:eastAsia="Arial" w:hAnsi="Arial"/>
          <w:b w:val="false"/>
          <w:bCs w:val="false"/>
          <w:color w:val="222222"/>
          <w:sz w:val="22"/>
          <w:szCs w:val="22"/>
        </w:rPr>
        <w:t xml:space="preserve">As documented in the Implementation Honesty Matrix (MOF v2.3.0), the four inputs to the Unified Revenue Router have the following deployment reality: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Source</w:t>
            </w:r>
          </w:p>
        </w:tc>
        <w:tc>
          <w:tcPr>
            <w:tcW w:type="dxa" w:w="20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356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Deployment Note</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MonadSpin (The Funnel)</w:t>
            </w:r>
          </w:p>
        </w:tc>
        <w:tc>
          <w:tcPr>
            <w:tcW w:type="dxa" w:w="200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pPr>
              <w:jc w:val="center"/>
            </w:pPr>
            <w:r>
              <w:rPr>
                <w:rFonts w:ascii="Arial" w:cs="Arial" w:eastAsia="Arial" w:hAnsi="Arial"/>
                <w:b/>
                <w:bCs/>
                <w:color w:val="C0392B"/>
                <w:sz w:val="19"/>
                <w:szCs w:val="19"/>
              </w:rPr>
              <w:t xml:space="preserve">PIPELINE</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Step 5 in build order — not yet live</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MEV Performance (Engine)</w:t>
            </w:r>
          </w:p>
        </w:tc>
        <w:tc>
          <w:tcPr>
            <w:tcW w:type="dxa" w:w="200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pPr>
              <w:jc w:val="center"/>
            </w:pPr>
            <w:r>
              <w:rPr>
                <w:rFonts w:ascii="Arial" w:cs="Arial" w:eastAsia="Arial" w:hAnsi="Arial"/>
                <w:b/>
                <w:bCs/>
                <w:color w:val="C0392B"/>
                <w:sz w:val="19"/>
                <w:szCs w:val="19"/>
              </w:rPr>
              <w:t xml:space="preserve">NOT LIVE</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Testnet validated; mainnet blocked by ISSUE-001–003</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Oracle Fees</w:t>
            </w:r>
          </w:p>
        </w:tc>
        <w:tc>
          <w:tcPr>
            <w:tcW w:type="dxa" w:w="2000"/>
            <w:tcBorders>
              <w:top w:val="single" w:color="DDDDDD" w:sz="1"/>
              <w:left w:val="single" w:color="DDDDDD" w:sz="1"/>
              <w:bottom w:val="single" w:color="DDDDDD" w:sz="1"/>
              <w:right w:val="single" w:color="DDDDDD" w:sz="1"/>
            </w:tcBorders>
            <w:shd w:fill="FFF9E6"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DOCTRINE</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Phase 3+ only; doctrine defined, not built</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Data Rail</w:t>
            </w:r>
          </w:p>
        </w:tc>
        <w:tc>
          <w:tcPr>
            <w:tcW w:type="dxa" w:w="2000"/>
            <w:tcBorders>
              <w:top w:val="single" w:color="DDDDDD" w:sz="1"/>
              <w:left w:val="single" w:color="DDDDDD" w:sz="1"/>
              <w:bottom w:val="single" w:color="DDDDDD" w:sz="1"/>
              <w:right w:val="single" w:color="DDDDDD" w:sz="1"/>
            </w:tcBorders>
            <w:shd w:fill="FFF9E6"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DOCTRINE</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Phase 3+; requires full Gnosis layer (doctrine defined)</w:t>
            </w:r>
          </w:p>
        </w:tc>
      </w:tr>
    </w:tbl>
    <w:p>
      <w:pPr>
        <w:spacing w:after="80"/>
      </w:pPr>
    </w:p>
    <w:p>
      <w:pPr>
        <w:shd w:fill="FDECEA" w:val="clear"/>
        <w:spacing w:after="160"/>
      </w:pPr>
      <w:r>
        <w:rPr>
          <w:rFonts w:ascii="Arial" w:cs="Arial" w:eastAsia="Arial" w:hAnsi="Arial"/>
          <w:b/>
          <w:bCs/>
          <w:color w:val="C0392B"/>
          <w:sz w:val="20"/>
          <w:szCs w:val="20"/>
        </w:rPr>
        <w:t xml:space="preserve">  CRITICAL FAILURE VECTOR:  </w:t>
      </w:r>
      <w:r>
        <w:rPr>
          <w:rFonts w:ascii="Arial" w:cs="Arial" w:eastAsia="Arial" w:hAnsi="Arial"/>
          <w:color w:val="333333"/>
          <w:sz w:val="20"/>
          <w:szCs w:val="20"/>
        </w:rPr>
        <w:t xml:space="preserve">At Phase 1a activation, zero of the four existing revenue inputs are operational. The Treasury has no seeding mechanism. MEV requires a funded bankroll that has no source. The organism cannot self-capitalize because it has no beginning.</w:t>
      </w:r>
    </w:p>
    <w:p>
      <w:pPr>
        <w:spacing w:after="80"/>
      </w:pPr>
    </w:p>
    <w:p>
      <w:pPr>
        <w:pStyle w:val="Heading2"/>
        <w:spacing w:after="160" w:before="300"/>
      </w:pPr>
      <w:r>
        <w:rPr>
          <w:rFonts w:ascii="Arial" w:cs="Arial" w:eastAsia="Arial" w:hAnsi="Arial"/>
          <w:b/>
          <w:bCs/>
          <w:color w:val="0D1117"/>
          <w:sz w:val="26"/>
          <w:szCs w:val="26"/>
        </w:rPr>
        <w:t xml:space="preserve">1.2 — The Chicken-and-Egg Structure</w:t>
      </w:r>
    </w:p>
    <w:p>
      <w:pPr>
        <w:spacing w:after="160"/>
      </w:pPr>
      <w:r>
        <w:rPr>
          <w:rFonts w:ascii="Arial" w:cs="Arial" w:eastAsia="Arial" w:hAnsi="Arial"/>
          <w:b w:val="false"/>
          <w:bCs w:val="false"/>
          <w:color w:val="222222"/>
          <w:sz w:val="22"/>
          <w:szCs w:val="22"/>
        </w:rPr>
        <w:t xml:space="preserve">The current architecture creates a circular dependency: MEV requires Treasury capital to operate. Treasury capital requires MonadSpin inflow. MonadSpin requires participants who require a live ecosystem. The ecosystem requires MEV to demonstrate value. This loop has no external starting point, which means the organism cannot begin breathing on its own.</w:t>
      </w:r>
    </w:p>
    <w:p>
      <w:pPr>
        <w:spacing w:after="160"/>
      </w:pPr>
      <w:r>
        <w:rPr>
          <w:rFonts w:ascii="Arial" w:cs="Arial" w:eastAsia="Arial" w:hAnsi="Arial"/>
          <w:b w:val="false"/>
          <w:bCs w:val="false"/>
          <w:color w:val="222222"/>
          <w:sz w:val="22"/>
          <w:szCs w:val="22"/>
        </w:rPr>
        <w:t xml:space="preserve">Additionally, MonadSpin functioning as the SOLE funnel creates a single point of failure at the most critical layer — the foundation. If MonadSpin underperforms, is delayed, or is exploited, the entire capital layer starves.</w:t>
      </w:r>
    </w:p>
    <w:p>
      <w:r>
        <w:br w:type="page"/>
      </w:r>
    </w:p>
    <w:p>
      <w:pPr>
        <w:pBdr>
          <w:bottom w:val="single" w:color="27AE60" w:sz="6"/>
        </w:pBdr>
        <w:spacing w:after="160" w:before="160"/>
      </w:pPr>
    </w:p>
    <w:p>
      <w:pPr>
        <w:pStyle w:val="Heading1"/>
        <w:spacing w:after="200" w:before="400"/>
      </w:pPr>
      <w:r>
        <w:rPr>
          <w:rFonts w:ascii="Arial" w:cs="Arial" w:eastAsia="Arial" w:hAnsi="Arial"/>
          <w:b/>
          <w:bCs/>
          <w:color w:val="0D1117"/>
          <w:sz w:val="36"/>
          <w:szCs w:val="36"/>
        </w:rPr>
        <w:t xml:space="preserve">2. The Revision — Multi-Source Revenue Architecture</w:t>
      </w:r>
    </w:p>
    <w:p>
      <w:pPr>
        <w:spacing w:after="160"/>
      </w:pPr>
      <w:r>
        <w:rPr>
          <w:rFonts w:ascii="Arial" w:cs="Arial" w:eastAsia="Arial" w:hAnsi="Arial"/>
          <w:b w:val="false"/>
          <w:bCs w:val="false"/>
          <w:color w:val="222222"/>
          <w:sz w:val="22"/>
          <w:szCs w:val="22"/>
        </w:rPr>
        <w:t xml:space="preserve">This amendment restructures Layer 1 (Inflow &amp; Capital) from a single-funnel dependency model to a phased, multi-source revenue architecture. Each revenue source is categorized by when it can become operational relative to the build order. The organism begins generating inflow from the moment the Phase 1a contracts go live — before any user-facing product is deployed.</w:t>
      </w:r>
    </w:p>
    <w:p>
      <w:pPr>
        <w:spacing w:after="80"/>
      </w:pPr>
    </w:p>
    <w:p>
      <w:pPr>
        <w:pStyle w:val="Heading2"/>
        <w:spacing w:after="160" w:before="300"/>
      </w:pPr>
      <w:r>
        <w:rPr>
          <w:rFonts w:ascii="Arial" w:cs="Arial" w:eastAsia="Arial" w:hAnsi="Arial"/>
          <w:b/>
          <w:bCs/>
          <w:color w:val="C9A84C"/>
          <w:sz w:val="26"/>
          <w:szCs w:val="26"/>
        </w:rPr>
        <w:t xml:space="preserve">2.1 — The Three Revenue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DDDDD" w:sz="1"/>
              <w:left w:val="single" w:color="DDDDDD" w:sz="1"/>
              <w:bottom w:val="single" w:color="DDDDDD" w:sz="1"/>
              <w:right w:val="single" w:color="DDDDDD" w:sz="1"/>
            </w:tcBorders>
            <w:shd w:fill="EAFAF1" w:val="clear"/>
            <w:tcMar>
              <w:top w:type="dxa" w:w="140"/>
              <w:left w:type="dxa" w:w="180"/>
              <w:bottom w:type="dxa" w:w="140"/>
              <w:right w:type="dxa" w:w="180"/>
            </w:tcMar>
          </w:tcPr>
          <w:p>
            <w:r>
              <w:rPr>
                <w:rFonts w:ascii="Arial" w:cs="Arial" w:eastAsia="Arial" w:hAnsi="Arial"/>
                <w:b/>
                <w:bCs/>
                <w:color w:val="27AE60"/>
                <w:sz w:val="20"/>
                <w:szCs w:val="20"/>
              </w:rPr>
              <w:t xml:space="preserve">TIER 1 — GENESIS REVENUE</w:t>
            </w:r>
          </w:p>
          <w:p>
            <w:pPr>
              <w:spacing w:after="80"/>
            </w:pPr>
            <w:r>
              <w:rPr>
                <w:rFonts w:ascii="Arial" w:cs="Arial" w:eastAsia="Arial" w:hAnsi="Arial"/>
                <w:color w:val="555555"/>
                <w:sz w:val="18"/>
                <w:szCs w:val="18"/>
              </w:rPr>
              <w:t xml:space="preserve">Phase 1a | Contract-Native</w:t>
            </w:r>
          </w:p>
          <w:p>
            <w:r>
              <w:rPr>
                <w:rFonts w:ascii="Arial" w:cs="Arial" w:eastAsia="Arial" w:hAnsi="Arial"/>
                <w:color w:val="333333"/>
                <w:sz w:val="19"/>
                <w:szCs w:val="19"/>
              </w:rPr>
              <w:t xml:space="preserve">Revenue that activates the moment Phase 1a contracts are deployed. No external product required. Purely on-chain mechanics.</w:t>
            </w:r>
          </w:p>
        </w:tc>
        <w:tc>
          <w:tcPr>
            <w:tcW w:type="dxa" w:w="3180"/>
            <w:tcBorders>
              <w:top w:val="single" w:color="DDDDDD" w:sz="1"/>
              <w:left w:val="single" w:color="DDDDDD" w:sz="1"/>
              <w:bottom w:val="single" w:color="DDDDDD" w:sz="1"/>
              <w:right w:val="single" w:color="DDDDDD" w:sz="1"/>
            </w:tcBorders>
            <w:shd w:fill="FDF8EC" w:val="clear"/>
            <w:tcMar>
              <w:top w:type="dxa" w:w="140"/>
              <w:left w:type="dxa" w:w="180"/>
              <w:bottom w:type="dxa" w:w="140"/>
              <w:right w:type="dxa" w:w="180"/>
            </w:tcMar>
          </w:tcPr>
          <w:p>
            <w:r>
              <w:rPr>
                <w:rFonts w:ascii="Arial" w:cs="Arial" w:eastAsia="Arial" w:hAnsi="Arial"/>
                <w:b/>
                <w:bCs/>
                <w:color w:val="C07000"/>
                <w:sz w:val="20"/>
                <w:szCs w:val="20"/>
              </w:rPr>
              <w:t xml:space="preserve">TIER 2 — PLATFORM REVENUE</w:t>
            </w:r>
          </w:p>
          <w:p>
            <w:pPr>
              <w:spacing w:after="80"/>
            </w:pPr>
            <w:r>
              <w:rPr>
                <w:rFonts w:ascii="Arial" w:cs="Arial" w:eastAsia="Arial" w:hAnsi="Arial"/>
                <w:color w:val="555555"/>
                <w:sz w:val="18"/>
                <w:szCs w:val="18"/>
              </w:rPr>
              <w:t xml:space="preserve">Phase 1b | Product-Native</w:t>
            </w:r>
          </w:p>
          <w:p>
            <w:r>
              <w:rPr>
                <w:rFonts w:ascii="Arial" w:cs="Arial" w:eastAsia="Arial" w:hAnsi="Arial"/>
                <w:color w:val="333333"/>
                <w:sz w:val="19"/>
                <w:szCs w:val="19"/>
              </w:rPr>
              <w:t xml:space="preserve">Revenue that activates when user-facing components go live (MonadSpin, Platform, MEV Mainnet). These are the original sources, repositioned as Tier 2.</w:t>
            </w:r>
          </w:p>
        </w:tc>
        <w:tc>
          <w:tcPr>
            <w:tcW w:type="dxa" w:w="3180"/>
            <w:tcBorders>
              <w:top w:val="single" w:color="DDDDDD" w:sz="1"/>
              <w:left w:val="single" w:color="DDDDDD" w:sz="1"/>
              <w:bottom w:val="single" w:color="DDDDDD" w:sz="1"/>
              <w:right w:val="single" w:color="DDDDDD" w:sz="1"/>
            </w:tcBorders>
            <w:shd w:fill="E8F7FB" w:val="clear"/>
            <w:tcMar>
              <w:top w:type="dxa" w:w="140"/>
              <w:left w:type="dxa" w:w="180"/>
              <w:bottom w:type="dxa" w:w="140"/>
              <w:right w:type="dxa" w:w="180"/>
            </w:tcMar>
          </w:tcPr>
          <w:p>
            <w:r>
              <w:rPr>
                <w:rFonts w:ascii="Arial" w:cs="Arial" w:eastAsia="Arial" w:hAnsi="Arial"/>
                <w:b/>
                <w:bCs/>
                <w:color w:val="0077A8"/>
                <w:sz w:val="20"/>
                <w:szCs w:val="20"/>
              </w:rPr>
              <w:t xml:space="preserve">TIER 3 — COMPOUNDING REVENUE</w:t>
            </w:r>
          </w:p>
          <w:p>
            <w:pPr>
              <w:spacing w:after="80"/>
            </w:pPr>
            <w:r>
              <w:rPr>
                <w:rFonts w:ascii="Arial" w:cs="Arial" w:eastAsia="Arial" w:hAnsi="Arial"/>
                <w:color w:val="555555"/>
                <w:sz w:val="18"/>
                <w:szCs w:val="18"/>
              </w:rPr>
              <w:t xml:space="preserve">Phase 2–3 | Ecosystem-Native</w:t>
            </w:r>
          </w:p>
          <w:p>
            <w:r>
              <w:rPr>
                <w:rFonts w:ascii="Arial" w:cs="Arial" w:eastAsia="Arial" w:hAnsi="Arial"/>
                <w:color w:val="333333"/>
                <w:sz w:val="19"/>
                <w:szCs w:val="19"/>
              </w:rPr>
              <w:t xml:space="preserve">Revenue from mature infrastructure: Oracle licensing, Data Rail yield, cross-protocol fees. These compound on top of Tiers 1 and 2.</w:t>
            </w:r>
          </w:p>
        </w:tc>
      </w:tr>
    </w:tbl>
    <w:p>
      <w:pPr>
        <w:spacing w:after="80"/>
      </w:pPr>
    </w:p>
    <w:p>
      <w:pPr>
        <w:spacing w:after="80"/>
      </w:pPr>
    </w:p>
    <w:p>
      <w:pPr>
        <w:pStyle w:val="Heading2"/>
        <w:spacing w:after="160" w:before="300"/>
      </w:pPr>
      <w:r>
        <w:rPr>
          <w:rFonts w:ascii="Arial" w:cs="Arial" w:eastAsia="Arial" w:hAnsi="Arial"/>
          <w:b/>
          <w:bCs/>
          <w:color w:val="0D1117"/>
          <w:sz w:val="26"/>
          <w:szCs w:val="26"/>
        </w:rPr>
        <w:t xml:space="preserve">2.2 — Full Revenue Source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2600"/>
        <w:gridCol w:w="1500"/>
        <w:gridCol w:w="1960"/>
      </w:tblGrid>
      <w:tr>
        <w:trPr>
          <w:tblHeader/>
        </w:trPr>
        <w:tc>
          <w:tcPr>
            <w:tcW w:type="dxa" w:w="10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TIER</w:t>
            </w:r>
          </w:p>
        </w:tc>
        <w:tc>
          <w:tcPr>
            <w:tcW w:type="dxa" w:w="23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SOURCE</w:t>
            </w:r>
          </w:p>
        </w:tc>
        <w:tc>
          <w:tcPr>
            <w:tcW w:type="dxa" w:w="26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MECHANISM</w:t>
            </w:r>
          </w:p>
        </w:tc>
        <w:tc>
          <w:tcPr>
            <w:tcW w:type="dxa" w:w="15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TIMING</w:t>
            </w:r>
          </w:p>
        </w:tc>
        <w:tc>
          <w:tcPr>
            <w:tcW w:type="dxa" w:w="196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POTENTIAL</w:t>
            </w:r>
          </w:p>
        </w:tc>
      </w:tr>
      <w:tr>
        <w:tc>
          <w:tcPr>
            <w:tcW w:type="dxa" w:w="10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vAlign w:val="center"/>
          </w:tcPr>
          <w:p>
            <w:pPr>
              <w:jc w:val="center"/>
            </w:pPr>
            <w:r>
              <w:rPr>
                <w:rFonts w:ascii="Arial" w:cs="Arial" w:eastAsia="Arial" w:hAnsi="Arial"/>
                <w:b/>
                <w:bCs/>
                <w:color w:val="444444"/>
                <w:sz w:val="19"/>
                <w:szCs w:val="19"/>
              </w:rPr>
              <w:t xml:space="preserve">1a</w:t>
            </w:r>
          </w:p>
        </w:tc>
        <w:tc>
          <w:tcPr>
            <w:tcW w:type="dxa" w:w="23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r>
              <w:rPr>
                <w:rFonts w:ascii="Arial" w:cs="Arial" w:eastAsia="Arial" w:hAnsi="Arial"/>
                <w:b/>
                <w:bCs/>
                <w:sz w:val="20"/>
                <w:szCs w:val="20"/>
              </w:rPr>
              <w:t xml:space="preserve">Agent Key NFT Sales</w:t>
            </w:r>
          </w:p>
        </w:tc>
        <w:tc>
          <w:tcPr>
            <w:tcW w:type="dxa" w:w="26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r>
              <w:rPr>
                <w:rFonts w:ascii="Arial" w:cs="Arial" w:eastAsia="Arial" w:hAnsi="Arial"/>
                <w:color w:val="555555"/>
                <w:sz w:val="19"/>
                <w:szCs w:val="19"/>
              </w:rPr>
              <w:t xml:space="preserve">Every delegate operating in the ecosystem requires a Key NFT (Layer 9). Keys are minted at a fixed fee per issuance — no platform required.</w:t>
            </w:r>
          </w:p>
        </w:tc>
        <w:tc>
          <w:tcPr>
            <w:tcW w:type="dxa" w:w="15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color w:val="4A5568"/>
                <w:sz w:val="19"/>
                <w:szCs w:val="19"/>
              </w:rPr>
              <w:t xml:space="preserve">Day 0</w:t>
            </w:r>
          </w:p>
        </w:tc>
        <w:tc>
          <w:tcPr>
            <w:tcW w:type="dxa" w:w="196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b/>
                <w:bCs/>
                <w:color w:val="27AE60"/>
                <w:sz w:val="19"/>
                <w:szCs w:val="19"/>
              </w:rPr>
              <w:t xml:space="preserve">HIGH</w:t>
            </w:r>
          </w:p>
        </w:tc>
      </w:tr>
      <w:tr>
        <w:tc>
          <w:tcPr>
            <w:tcW w:type="dxa" w:w="10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vAlign w:val="center"/>
          </w:tcPr>
          <w:p>
            <w:pPr>
              <w:jc w:val="center"/>
            </w:pPr>
            <w:r>
              <w:rPr>
                <w:rFonts w:ascii="Arial" w:cs="Arial" w:eastAsia="Arial" w:hAnsi="Arial"/>
                <w:b/>
                <w:bCs/>
                <w:color w:val="444444"/>
                <w:sz w:val="19"/>
                <w:szCs w:val="19"/>
              </w:rPr>
              <w:t xml:space="preserve">1a</w:t>
            </w:r>
          </w:p>
        </w:tc>
        <w:tc>
          <w:tcPr>
            <w:tcW w:type="dxa" w:w="23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r>
              <w:rPr>
                <w:rFonts w:ascii="Arial" w:cs="Arial" w:eastAsia="Arial" w:hAnsi="Arial"/>
                <w:b/>
                <w:bCs/>
                <w:sz w:val="20"/>
                <w:szCs w:val="20"/>
              </w:rPr>
              <w:t xml:space="preserve">Psychometric Profile Minting Fees</w:t>
            </w:r>
          </w:p>
        </w:tc>
        <w:tc>
          <w:tcPr>
            <w:tcW w:type="dxa" w:w="26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r>
              <w:rPr>
                <w:rFonts w:ascii="Arial" w:cs="Arial" w:eastAsia="Arial" w:hAnsi="Arial"/>
                <w:color w:val="555555"/>
                <w:sz w:val="19"/>
                <w:szCs w:val="19"/>
              </w:rPr>
              <w:t xml:space="preserve">The entry path (Human → Verified Profile → Delegate Agent) requires a cryptographically minted profile. Each minting charges a fee. Revenue from every new participant.</w:t>
            </w:r>
          </w:p>
        </w:tc>
        <w:tc>
          <w:tcPr>
            <w:tcW w:type="dxa" w:w="15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color w:val="4A5568"/>
                <w:sz w:val="19"/>
                <w:szCs w:val="19"/>
              </w:rPr>
              <w:t xml:space="preserve">Day 0</w:t>
            </w:r>
          </w:p>
        </w:tc>
        <w:tc>
          <w:tcPr>
            <w:tcW w:type="dxa" w:w="196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b/>
                <w:bCs/>
                <w:color w:val="27AE60"/>
                <w:sz w:val="19"/>
                <w:szCs w:val="19"/>
              </w:rPr>
              <w:t xml:space="preserve">HIGH</w:t>
            </w:r>
          </w:p>
        </w:tc>
      </w:tr>
      <w:tr>
        <w:tc>
          <w:tcPr>
            <w:tcW w:type="dxa" w:w="10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vAlign w:val="center"/>
          </w:tcPr>
          <w:p>
            <w:pPr>
              <w:jc w:val="center"/>
            </w:pPr>
            <w:r>
              <w:rPr>
                <w:rFonts w:ascii="Arial" w:cs="Arial" w:eastAsia="Arial" w:hAnsi="Arial"/>
                <w:b/>
                <w:bCs/>
                <w:color w:val="444444"/>
                <w:sz w:val="19"/>
                <w:szCs w:val="19"/>
              </w:rPr>
              <w:t xml:space="preserve">1a</w:t>
            </w:r>
          </w:p>
        </w:tc>
        <w:tc>
          <w:tcPr>
            <w:tcW w:type="dxa" w:w="23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r>
              <w:rPr>
                <w:rFonts w:ascii="Arial" w:cs="Arial" w:eastAsia="Arial" w:hAnsi="Arial"/>
                <w:b/>
                <w:bCs/>
                <w:sz w:val="20"/>
                <w:szCs w:val="20"/>
              </w:rPr>
              <w:t xml:space="preserve">Founding Delegate Pool Bonds</w:t>
            </w:r>
          </w:p>
        </w:tc>
        <w:tc>
          <w:tcPr>
            <w:tcW w:type="dxa" w:w="26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r>
              <w:rPr>
                <w:rFonts w:ascii="Arial" w:cs="Arial" w:eastAsia="Arial" w:hAnsi="Arial"/>
                <w:color w:val="555555"/>
                <w:sz w:val="19"/>
                <w:szCs w:val="19"/>
              </w:rPr>
              <w:t xml:space="preserve">Participants who register to operate delegate pools post a bond to the Treasury. Acts as both security deposit and Treasury seed capital. Refundable under aligned conditions.</w:t>
            </w:r>
          </w:p>
        </w:tc>
        <w:tc>
          <w:tcPr>
            <w:tcW w:type="dxa" w:w="15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color w:val="4A5568"/>
                <w:sz w:val="19"/>
                <w:szCs w:val="19"/>
              </w:rPr>
              <w:t xml:space="preserve">Day 0</w:t>
            </w:r>
          </w:p>
        </w:tc>
        <w:tc>
          <w:tcPr>
            <w:tcW w:type="dxa" w:w="196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MED-HIGH</w:t>
            </w:r>
          </w:p>
        </w:tc>
      </w:tr>
      <w:tr>
        <w:tc>
          <w:tcPr>
            <w:tcW w:type="dxa" w:w="10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vAlign w:val="center"/>
          </w:tcPr>
          <w:p>
            <w:pPr>
              <w:jc w:val="center"/>
            </w:pPr>
            <w:r>
              <w:rPr>
                <w:rFonts w:ascii="Arial" w:cs="Arial" w:eastAsia="Arial" w:hAnsi="Arial"/>
                <w:b/>
                <w:bCs/>
                <w:color w:val="444444"/>
                <w:sz w:val="19"/>
                <w:szCs w:val="19"/>
              </w:rPr>
              <w:t xml:space="preserve">1b</w:t>
            </w:r>
          </w:p>
        </w:tc>
        <w:tc>
          <w:tcPr>
            <w:tcW w:type="dxa" w:w="23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b/>
                <w:bCs/>
                <w:sz w:val="20"/>
                <w:szCs w:val="20"/>
              </w:rPr>
              <w:t xml:space="preserve">MonadSpin</w:t>
            </w:r>
          </w:p>
        </w:tc>
        <w:tc>
          <w:tcPr>
            <w:tcW w:type="dxa" w:w="26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color w:val="555555"/>
                <w:sz w:val="19"/>
                <w:szCs w:val="19"/>
              </w:rPr>
              <w:t xml:space="preserve">External participant funnel — gamified inflow mechanism. Retained from v2.3.0 but repositioned as one of multiple funnels, not the sole funnel.</w:t>
            </w:r>
          </w:p>
        </w:tc>
        <w:tc>
          <w:tcPr>
            <w:tcW w:type="dxa" w:w="15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pPr>
              <w:jc w:val="center"/>
            </w:pPr>
            <w:r>
              <w:rPr>
                <w:rFonts w:ascii="Arial" w:cs="Arial" w:eastAsia="Arial" w:hAnsi="Arial"/>
                <w:color w:val="4A5568"/>
                <w:sz w:val="19"/>
                <w:szCs w:val="19"/>
              </w:rPr>
              <w:t xml:space="preserve">Post-Step 5</w:t>
            </w:r>
          </w:p>
        </w:tc>
        <w:tc>
          <w:tcPr>
            <w:tcW w:type="dxa" w:w="196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pPr>
              <w:jc w:val="center"/>
            </w:pPr>
            <w:r>
              <w:rPr>
                <w:rFonts w:ascii="Arial" w:cs="Arial" w:eastAsia="Arial" w:hAnsi="Arial"/>
                <w:b/>
                <w:bCs/>
                <w:color w:val="27AE60"/>
                <w:sz w:val="19"/>
                <w:szCs w:val="19"/>
              </w:rPr>
              <w:t xml:space="preserve">HIGH</w:t>
            </w:r>
          </w:p>
        </w:tc>
      </w:tr>
      <w:tr>
        <w:tc>
          <w:tcPr>
            <w:tcW w:type="dxa" w:w="10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vAlign w:val="center"/>
          </w:tcPr>
          <w:p>
            <w:pPr>
              <w:jc w:val="center"/>
            </w:pPr>
            <w:r>
              <w:rPr>
                <w:rFonts w:ascii="Arial" w:cs="Arial" w:eastAsia="Arial" w:hAnsi="Arial"/>
                <w:b/>
                <w:bCs/>
                <w:color w:val="444444"/>
                <w:sz w:val="19"/>
                <w:szCs w:val="19"/>
              </w:rPr>
              <w:t xml:space="preserve">1b</w:t>
            </w:r>
          </w:p>
        </w:tc>
        <w:tc>
          <w:tcPr>
            <w:tcW w:type="dxa" w:w="23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b/>
                <w:bCs/>
                <w:sz w:val="20"/>
                <w:szCs w:val="20"/>
              </w:rPr>
              <w:t xml:space="preserve">MEV Performance Revenue</w:t>
            </w:r>
          </w:p>
        </w:tc>
        <w:tc>
          <w:tcPr>
            <w:tcW w:type="dxa" w:w="26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color w:val="555555"/>
                <w:sz w:val="19"/>
                <w:szCs w:val="19"/>
              </w:rPr>
              <w:t xml:space="preserve">On-chain arbitrage engine generating yield on deployed bankroll. Requires funded Treasury (now possible via Tier 1 sources). Retained from v2.3.0.</w:t>
            </w:r>
          </w:p>
        </w:tc>
        <w:tc>
          <w:tcPr>
            <w:tcW w:type="dxa" w:w="15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pPr>
              <w:jc w:val="center"/>
            </w:pPr>
            <w:r>
              <w:rPr>
                <w:rFonts w:ascii="Arial" w:cs="Arial" w:eastAsia="Arial" w:hAnsi="Arial"/>
                <w:color w:val="4A5568"/>
                <w:sz w:val="19"/>
                <w:szCs w:val="19"/>
              </w:rPr>
              <w:t xml:space="preserve">MEV Mainnet</w:t>
            </w:r>
          </w:p>
        </w:tc>
        <w:tc>
          <w:tcPr>
            <w:tcW w:type="dxa" w:w="196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pPr>
              <w:jc w:val="center"/>
            </w:pPr>
            <w:r>
              <w:rPr>
                <w:rFonts w:ascii="Arial" w:cs="Arial" w:eastAsia="Arial" w:hAnsi="Arial"/>
                <w:b/>
                <w:bCs/>
                <w:color w:val="27AE60"/>
                <w:sz w:val="19"/>
                <w:szCs w:val="19"/>
              </w:rPr>
              <w:t xml:space="preserve">HIGH</w:t>
            </w:r>
          </w:p>
        </w:tc>
      </w:tr>
      <w:tr>
        <w:tc>
          <w:tcPr>
            <w:tcW w:type="dxa" w:w="10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vAlign w:val="center"/>
          </w:tcPr>
          <w:p>
            <w:pPr>
              <w:jc w:val="center"/>
            </w:pPr>
            <w:r>
              <w:rPr>
                <w:rFonts w:ascii="Arial" w:cs="Arial" w:eastAsia="Arial" w:hAnsi="Arial"/>
                <w:b/>
                <w:bCs/>
                <w:color w:val="444444"/>
                <w:sz w:val="19"/>
                <w:szCs w:val="19"/>
              </w:rPr>
              <w:t xml:space="preserve">1b</w:t>
            </w:r>
          </w:p>
        </w:tc>
        <w:tc>
          <w:tcPr>
            <w:tcW w:type="dxa" w:w="23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b/>
                <w:bCs/>
                <w:sz w:val="20"/>
                <w:szCs w:val="20"/>
              </w:rPr>
              <w:t xml:space="preserve">Protocol Access Subscriptions</w:t>
            </w:r>
          </w:p>
        </w:tc>
        <w:tc>
          <w:tcPr>
            <w:tcW w:type="dxa" w:w="26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color w:val="555555"/>
                <w:sz w:val="19"/>
                <w:szCs w:val="19"/>
              </w:rPr>
              <w:t xml:space="preserve">Institutional and early-access subscriptions to the Behavioral Platform data layer — available before full Data Rail launch. B2B licensing of psychometric-economic dataset.</w:t>
            </w:r>
          </w:p>
        </w:tc>
        <w:tc>
          <w:tcPr>
            <w:tcW w:type="dxa" w:w="15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pPr>
              <w:jc w:val="center"/>
            </w:pPr>
            <w:r>
              <w:rPr>
                <w:rFonts w:ascii="Arial" w:cs="Arial" w:eastAsia="Arial" w:hAnsi="Arial"/>
                <w:color w:val="4A5568"/>
                <w:sz w:val="19"/>
                <w:szCs w:val="19"/>
              </w:rPr>
              <w:t xml:space="preserve">Phase 1b</w:t>
            </w:r>
          </w:p>
        </w:tc>
        <w:tc>
          <w:tcPr>
            <w:tcW w:type="dxa" w:w="196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MED</w:t>
            </w:r>
          </w:p>
        </w:tc>
      </w:tr>
      <w:tr>
        <w:tc>
          <w:tcPr>
            <w:tcW w:type="dxa" w:w="10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vAlign w:val="center"/>
          </w:tcPr>
          <w:p>
            <w:pPr>
              <w:jc w:val="center"/>
            </w:pPr>
            <w:r>
              <w:rPr>
                <w:rFonts w:ascii="Arial" w:cs="Arial" w:eastAsia="Arial" w:hAnsi="Arial"/>
                <w:b/>
                <w:bCs/>
                <w:color w:val="444444"/>
                <w:sz w:val="19"/>
                <w:szCs w:val="19"/>
              </w:rPr>
              <w:t xml:space="preserve">2–3</w:t>
            </w:r>
          </w:p>
        </w:tc>
        <w:tc>
          <w:tcPr>
            <w:tcW w:type="dxa" w:w="23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r>
              <w:rPr>
                <w:rFonts w:ascii="Arial" w:cs="Arial" w:eastAsia="Arial" w:hAnsi="Arial"/>
                <w:b/>
                <w:bCs/>
                <w:sz w:val="20"/>
                <w:szCs w:val="20"/>
              </w:rPr>
              <w:t xml:space="preserve">Oracle Access Fees</w:t>
            </w:r>
          </w:p>
        </w:tc>
        <w:tc>
          <w:tcPr>
            <w:tcW w:type="dxa" w:w="26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r>
              <w:rPr>
                <w:rFonts w:ascii="Arial" w:cs="Arial" w:eastAsia="Arial" w:hAnsi="Arial"/>
                <w:color w:val="555555"/>
                <w:sz w:val="19"/>
                <w:szCs w:val="19"/>
              </w:rPr>
              <w:t xml:space="preserve">Fees charged to external protocols accessing the Oracle (Risk/Signal layer). Retained from v2.3.0.</w:t>
            </w:r>
          </w:p>
        </w:tc>
        <w:tc>
          <w:tcPr>
            <w:tcW w:type="dxa" w:w="15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pPr>
              <w:jc w:val="center"/>
            </w:pPr>
            <w:r>
              <w:rPr>
                <w:rFonts w:ascii="Arial" w:cs="Arial" w:eastAsia="Arial" w:hAnsi="Arial"/>
                <w:color w:val="4A5568"/>
                <w:sz w:val="19"/>
                <w:szCs w:val="19"/>
              </w:rPr>
              <w:t xml:space="preserve">Phase 2</w:t>
            </w:r>
          </w:p>
        </w:tc>
        <w:tc>
          <w:tcPr>
            <w:tcW w:type="dxa" w:w="196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MED</w:t>
            </w:r>
          </w:p>
        </w:tc>
      </w:tr>
      <w:tr>
        <w:tc>
          <w:tcPr>
            <w:tcW w:type="dxa" w:w="10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vAlign w:val="center"/>
          </w:tcPr>
          <w:p>
            <w:pPr>
              <w:jc w:val="center"/>
            </w:pPr>
            <w:r>
              <w:rPr>
                <w:rFonts w:ascii="Arial" w:cs="Arial" w:eastAsia="Arial" w:hAnsi="Arial"/>
                <w:b/>
                <w:bCs/>
                <w:color w:val="444444"/>
                <w:sz w:val="19"/>
                <w:szCs w:val="19"/>
              </w:rPr>
              <w:t xml:space="preserve">2–3</w:t>
            </w:r>
          </w:p>
        </w:tc>
        <w:tc>
          <w:tcPr>
            <w:tcW w:type="dxa" w:w="23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r>
              <w:rPr>
                <w:rFonts w:ascii="Arial" w:cs="Arial" w:eastAsia="Arial" w:hAnsi="Arial"/>
                <w:b/>
                <w:bCs/>
                <w:sz w:val="20"/>
                <w:szCs w:val="20"/>
              </w:rPr>
              <w:t xml:space="preserve">Data Rail Licensing</w:t>
            </w:r>
          </w:p>
        </w:tc>
        <w:tc>
          <w:tcPr>
            <w:tcW w:type="dxa" w:w="26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r>
              <w:rPr>
                <w:rFonts w:ascii="Arial" w:cs="Arial" w:eastAsia="Arial" w:hAnsi="Arial"/>
                <w:color w:val="555555"/>
                <w:sz w:val="19"/>
                <w:szCs w:val="19"/>
              </w:rPr>
              <w:t xml:space="preserve">Full monetization of the behavioral data pipeline via the Data Rail. Retained from v2.3.0 — requires Gnosis layer deployment.</w:t>
            </w:r>
          </w:p>
        </w:tc>
        <w:tc>
          <w:tcPr>
            <w:tcW w:type="dxa" w:w="15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pPr>
              <w:jc w:val="center"/>
            </w:pPr>
            <w:r>
              <w:rPr>
                <w:rFonts w:ascii="Arial" w:cs="Arial" w:eastAsia="Arial" w:hAnsi="Arial"/>
                <w:color w:val="4A5568"/>
                <w:sz w:val="19"/>
                <w:szCs w:val="19"/>
              </w:rPr>
              <w:t xml:space="preserve">Phase 3+</w:t>
            </w:r>
          </w:p>
        </w:tc>
        <w:tc>
          <w:tcPr>
            <w:tcW w:type="dxa" w:w="196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pPr>
              <w:jc w:val="center"/>
            </w:pPr>
            <w:r>
              <w:rPr>
                <w:rFonts w:ascii="Arial" w:cs="Arial" w:eastAsia="Arial" w:hAnsi="Arial"/>
                <w:b/>
                <w:bCs/>
                <w:color w:val="27AE60"/>
                <w:sz w:val="19"/>
                <w:szCs w:val="19"/>
              </w:rPr>
              <w:t xml:space="preserve">HIGH</w:t>
            </w:r>
          </w:p>
        </w:tc>
      </w:tr>
      <w:tr>
        <w:tc>
          <w:tcPr>
            <w:tcW w:type="dxa" w:w="10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vAlign w:val="center"/>
          </w:tcPr>
          <w:p>
            <w:pPr>
              <w:jc w:val="center"/>
            </w:pPr>
            <w:r>
              <w:rPr>
                <w:rFonts w:ascii="Arial" w:cs="Arial" w:eastAsia="Arial" w:hAnsi="Arial"/>
                <w:b/>
                <w:bCs/>
                <w:color w:val="444444"/>
                <w:sz w:val="19"/>
                <w:szCs w:val="19"/>
              </w:rPr>
              <w:t xml:space="preserve">2–3</w:t>
            </w:r>
          </w:p>
        </w:tc>
        <w:tc>
          <w:tcPr>
            <w:tcW w:type="dxa" w:w="23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r>
              <w:rPr>
                <w:rFonts w:ascii="Arial" w:cs="Arial" w:eastAsia="Arial" w:hAnsi="Arial"/>
                <w:b/>
                <w:bCs/>
                <w:sz w:val="20"/>
                <w:szCs w:val="20"/>
              </w:rPr>
              <w:t xml:space="preserve">Cross-Protocol Signal Feeds</w:t>
            </w:r>
          </w:p>
        </w:tc>
        <w:tc>
          <w:tcPr>
            <w:tcW w:type="dxa" w:w="26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r>
              <w:rPr>
                <w:rFonts w:ascii="Arial" w:cs="Arial" w:eastAsia="Arial" w:hAnsi="Arial"/>
                <w:color w:val="555555"/>
                <w:sz w:val="19"/>
                <w:szCs w:val="19"/>
              </w:rPr>
              <w:t xml:space="preserve">Third-party protocols subscribe to real-time signal data from the Intelligence Stack. Recurring feed revenue.</w:t>
            </w:r>
          </w:p>
        </w:tc>
        <w:tc>
          <w:tcPr>
            <w:tcW w:type="dxa" w:w="15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pPr>
              <w:jc w:val="center"/>
            </w:pPr>
            <w:r>
              <w:rPr>
                <w:rFonts w:ascii="Arial" w:cs="Arial" w:eastAsia="Arial" w:hAnsi="Arial"/>
                <w:color w:val="4A5568"/>
                <w:sz w:val="19"/>
                <w:szCs w:val="19"/>
              </w:rPr>
              <w:t xml:space="preserve">Phase 3+</w:t>
            </w:r>
          </w:p>
        </w:tc>
        <w:tc>
          <w:tcPr>
            <w:tcW w:type="dxa" w:w="196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MED</w:t>
            </w:r>
          </w:p>
        </w:tc>
      </w:tr>
    </w:tbl>
    <w:p>
      <w:pPr>
        <w:spacing w:after="80"/>
      </w:pPr>
    </w:p>
    <w:p>
      <w:r>
        <w:br w:type="page"/>
      </w:r>
    </w:p>
    <w:p>
      <w:pPr>
        <w:pBdr>
          <w:bottom w:val="single" w:color="C9A84C" w:sz="6"/>
        </w:pBdr>
        <w:spacing w:after="160" w:before="160"/>
      </w:pPr>
    </w:p>
    <w:p>
      <w:pPr>
        <w:pStyle w:val="Heading1"/>
        <w:spacing w:after="200" w:before="400"/>
      </w:pPr>
      <w:r>
        <w:rPr>
          <w:rFonts w:ascii="Arial" w:cs="Arial" w:eastAsia="Arial" w:hAnsi="Arial"/>
          <w:b/>
          <w:bCs/>
          <w:color w:val="0D1117"/>
          <w:sz w:val="36"/>
          <w:szCs w:val="36"/>
        </w:rPr>
        <w:t xml:space="preserve">3. Updated Unified Revenue Router</w:t>
      </w:r>
    </w:p>
    <w:p>
      <w:pPr>
        <w:spacing w:after="160"/>
      </w:pPr>
      <w:r>
        <w:rPr>
          <w:rFonts w:ascii="Arial" w:cs="Arial" w:eastAsia="Arial" w:hAnsi="Arial"/>
          <w:b w:val="false"/>
          <w:bCs w:val="false"/>
          <w:color w:val="222222"/>
          <w:sz w:val="22"/>
          <w:szCs w:val="22"/>
        </w:rPr>
        <w:t xml:space="preserve">The Sovereign Revenue Router (Phase 1a Contract Locked) receives all inflow atomically. With the revised multi-source architecture, the router inputs are expanded. Allocation percentages are locked, permanent, and transparent — no change to downstream routing.</w:t>
      </w:r>
    </w:p>
    <w:p>
      <w:pPr>
        <w:spacing w:after="80"/>
      </w:pPr>
    </w:p>
    <w:p>
      <w:pPr>
        <w:pStyle w:val="Heading2"/>
        <w:spacing w:after="160" w:before="300"/>
      </w:pPr>
      <w:r>
        <w:rPr>
          <w:rFonts w:ascii="Arial" w:cs="Arial" w:eastAsia="Arial" w:hAnsi="Arial"/>
          <w:b/>
          <w:bCs/>
          <w:color w:val="C9A84C"/>
          <w:sz w:val="26"/>
          <w:szCs w:val="26"/>
        </w:rPr>
        <w:t xml:space="preserve">3.1 — Revised Router Inputs (v2.4)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SOURCE</w:t>
            </w:r>
          </w:p>
        </w:tc>
        <w:tc>
          <w:tcPr>
            <w:tcW w:type="dxa" w:w="14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TIER</w:t>
            </w:r>
          </w:p>
        </w:tc>
        <w:tc>
          <w:tcPr>
            <w:tcW w:type="dxa" w:w="516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ROUTING NOTE</w:t>
            </w:r>
          </w:p>
        </w:tc>
      </w:tr>
      <w:tr>
        <w:tc>
          <w:tcPr>
            <w:tcW w:type="dxa" w:w="28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b/>
                <w:bCs/>
                <w:sz w:val="20"/>
                <w:szCs w:val="20"/>
              </w:rPr>
              <w:t xml:space="preserve">Agent Key NFT Sales</w:t>
            </w:r>
          </w:p>
        </w:tc>
        <w:tc>
          <w:tcPr>
            <w:tcW w:type="dxa" w:w="14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pPr>
              <w:jc w:val="center"/>
            </w:pPr>
            <w:r>
              <w:rPr>
                <w:rFonts w:ascii="Arial" w:cs="Arial" w:eastAsia="Arial" w:hAnsi="Arial"/>
                <w:b/>
                <w:bCs/>
                <w:color w:val="C9A84C"/>
                <w:sz w:val="20"/>
                <w:szCs w:val="20"/>
              </w:rPr>
              <w:t xml:space="preserve">TIER 1</w:t>
            </w:r>
          </w:p>
        </w:tc>
        <w:tc>
          <w:tcPr>
            <w:tcW w:type="dxa" w:w="516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color w:val="555555"/>
                <w:sz w:val="19"/>
                <w:szCs w:val="19"/>
              </w:rPr>
              <w:t xml:space="preserve">Routed 100% through Sovereign Revenue Router on mint. Immediate Treasury seed at genesis.</w:t>
            </w:r>
          </w:p>
        </w:tc>
      </w:tr>
      <w:tr>
        <w:tc>
          <w:tcPr>
            <w:tcW w:type="dxa" w:w="28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b/>
                <w:bCs/>
                <w:sz w:val="20"/>
                <w:szCs w:val="20"/>
              </w:rPr>
              <w:t xml:space="preserve">Psychometric Profile Minting Fees</w:t>
            </w:r>
          </w:p>
        </w:tc>
        <w:tc>
          <w:tcPr>
            <w:tcW w:type="dxa" w:w="14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pPr>
              <w:jc w:val="center"/>
            </w:pPr>
            <w:r>
              <w:rPr>
                <w:rFonts w:ascii="Arial" w:cs="Arial" w:eastAsia="Arial" w:hAnsi="Arial"/>
                <w:b/>
                <w:bCs/>
                <w:color w:val="C9A84C"/>
                <w:sz w:val="20"/>
                <w:szCs w:val="20"/>
              </w:rPr>
              <w:t xml:space="preserve">TIER 1</w:t>
            </w:r>
          </w:p>
        </w:tc>
        <w:tc>
          <w:tcPr>
            <w:tcW w:type="dxa" w:w="516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color w:val="555555"/>
                <w:sz w:val="19"/>
                <w:szCs w:val="19"/>
              </w:rPr>
              <w:t xml:space="preserve">Fee collected at verification. Flows atomically to router on every participant onboarding.</w:t>
            </w:r>
          </w:p>
        </w:tc>
      </w:tr>
      <w:tr>
        <w:tc>
          <w:tcPr>
            <w:tcW w:type="dxa" w:w="28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b/>
                <w:bCs/>
                <w:sz w:val="20"/>
                <w:szCs w:val="20"/>
              </w:rPr>
              <w:t xml:space="preserve">Founding Delegate Pool Bonds</w:t>
            </w:r>
          </w:p>
        </w:tc>
        <w:tc>
          <w:tcPr>
            <w:tcW w:type="dxa" w:w="14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pPr>
              <w:jc w:val="center"/>
            </w:pPr>
            <w:r>
              <w:rPr>
                <w:rFonts w:ascii="Arial" w:cs="Arial" w:eastAsia="Arial" w:hAnsi="Arial"/>
                <w:b/>
                <w:bCs/>
                <w:color w:val="C9A84C"/>
                <w:sz w:val="20"/>
                <w:szCs w:val="20"/>
              </w:rPr>
              <w:t xml:space="preserve">TIER 1</w:t>
            </w:r>
          </w:p>
        </w:tc>
        <w:tc>
          <w:tcPr>
            <w:tcW w:type="dxa" w:w="516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r>
              <w:rPr>
                <w:rFonts w:ascii="Arial" w:cs="Arial" w:eastAsia="Arial" w:hAnsi="Arial"/>
                <w:color w:val="555555"/>
                <w:sz w:val="19"/>
                <w:szCs w:val="19"/>
              </w:rPr>
              <w:t xml:space="preserve">Bond held in Treasury. Portions released to MEV Bankroll allocation to fund initial engine.</w:t>
            </w:r>
          </w:p>
        </w:tc>
      </w:tr>
      <w:tr>
        <w:tc>
          <w:tcPr>
            <w:tcW w:type="dxa" w:w="2800"/>
            <w:tcBorders>
              <w:top w:val="single" w:color="DDDDDD" w:sz="1"/>
              <w:left w:val="single" w:color="DDDDDD" w:sz="1"/>
              <w:bottom w:val="single" w:color="DDDDDD" w:sz="1"/>
              <w:right w:val="single" w:color="DDDDDD" w:sz="1"/>
            </w:tcBorders>
            <w:shd w:fill="F7F8FA" w:val="clear"/>
            <w:tcMar>
              <w:top w:type="dxa" w:w="100"/>
              <w:left w:type="dxa" w:w="150"/>
              <w:bottom w:type="dxa" w:w="100"/>
              <w:right w:type="dxa" w:w="150"/>
            </w:tcMar>
          </w:tcPr>
          <w:p>
            <w:r>
              <w:rPr>
                <w:rFonts w:ascii="Arial" w:cs="Arial" w:eastAsia="Arial" w:hAnsi="Arial"/>
                <w:b/>
                <w:bCs/>
                <w:sz w:val="20"/>
                <w:szCs w:val="20"/>
              </w:rPr>
              <w:t xml:space="preserve">MonadSpin</w:t>
            </w:r>
          </w:p>
        </w:tc>
        <w:tc>
          <w:tcPr>
            <w:tcW w:type="dxa" w:w="1400"/>
            <w:tcBorders>
              <w:top w:val="single" w:color="DDDDDD" w:sz="1"/>
              <w:left w:val="single" w:color="DDDDDD" w:sz="1"/>
              <w:bottom w:val="single" w:color="DDDDDD" w:sz="1"/>
              <w:right w:val="single" w:color="DDDDDD" w:sz="1"/>
            </w:tcBorders>
            <w:shd w:fill="F7F8FA" w:val="clear"/>
            <w:tcMar>
              <w:top w:type="dxa" w:w="100"/>
              <w:left w:type="dxa" w:w="150"/>
              <w:bottom w:type="dxa" w:w="100"/>
              <w:right w:type="dxa" w:w="150"/>
            </w:tcMar>
          </w:tcPr>
          <w:p>
            <w:pPr>
              <w:jc w:val="center"/>
            </w:pPr>
            <w:r>
              <w:rPr>
                <w:rFonts w:ascii="Arial" w:cs="Arial" w:eastAsia="Arial" w:hAnsi="Arial"/>
                <w:b/>
                <w:bCs/>
                <w:color w:val="C9A84C"/>
                <w:sz w:val="20"/>
                <w:szCs w:val="20"/>
              </w:rPr>
              <w:t xml:space="preserve">TIER 2</w:t>
            </w:r>
          </w:p>
        </w:tc>
        <w:tc>
          <w:tcPr>
            <w:tcW w:type="dxa" w:w="5160"/>
            <w:tcBorders>
              <w:top w:val="single" w:color="DDDDDD" w:sz="1"/>
              <w:left w:val="single" w:color="DDDDDD" w:sz="1"/>
              <w:bottom w:val="single" w:color="DDDDDD" w:sz="1"/>
              <w:right w:val="single" w:color="DDDDDD" w:sz="1"/>
            </w:tcBorders>
            <w:shd w:fill="F7F8FA" w:val="clear"/>
            <w:tcMar>
              <w:top w:type="dxa" w:w="100"/>
              <w:left w:type="dxa" w:w="150"/>
              <w:bottom w:type="dxa" w:w="100"/>
              <w:right w:type="dxa" w:w="150"/>
            </w:tcMar>
          </w:tcPr>
          <w:p>
            <w:r>
              <w:rPr>
                <w:rFonts w:ascii="Arial" w:cs="Arial" w:eastAsia="Arial" w:hAnsi="Arial"/>
                <w:color w:val="555555"/>
                <w:sz w:val="19"/>
                <w:szCs w:val="19"/>
              </w:rPr>
              <w:t xml:space="preserve">Retained. External funnel inflow — now one of multiple sources rather than the sole funnel.</w:t>
            </w:r>
          </w:p>
        </w:tc>
      </w:tr>
      <w:tr>
        <w:tc>
          <w:tcPr>
            <w:tcW w:type="dxa" w:w="2800"/>
            <w:tcBorders>
              <w:top w:val="single" w:color="DDDDDD" w:sz="1"/>
              <w:left w:val="single" w:color="DDDDDD" w:sz="1"/>
              <w:bottom w:val="single" w:color="DDDDDD" w:sz="1"/>
              <w:right w:val="single" w:color="DDDDDD" w:sz="1"/>
            </w:tcBorders>
            <w:shd w:fill="F7F8FA" w:val="clear"/>
            <w:tcMar>
              <w:top w:type="dxa" w:w="100"/>
              <w:left w:type="dxa" w:w="150"/>
              <w:bottom w:type="dxa" w:w="100"/>
              <w:right w:type="dxa" w:w="150"/>
            </w:tcMar>
          </w:tcPr>
          <w:p>
            <w:r>
              <w:rPr>
                <w:rFonts w:ascii="Arial" w:cs="Arial" w:eastAsia="Arial" w:hAnsi="Arial"/>
                <w:b/>
                <w:bCs/>
                <w:sz w:val="20"/>
                <w:szCs w:val="20"/>
              </w:rPr>
              <w:t xml:space="preserve">MEV Performance Revenue</w:t>
            </w:r>
          </w:p>
        </w:tc>
        <w:tc>
          <w:tcPr>
            <w:tcW w:type="dxa" w:w="1400"/>
            <w:tcBorders>
              <w:top w:val="single" w:color="DDDDDD" w:sz="1"/>
              <w:left w:val="single" w:color="DDDDDD" w:sz="1"/>
              <w:bottom w:val="single" w:color="DDDDDD" w:sz="1"/>
              <w:right w:val="single" w:color="DDDDDD" w:sz="1"/>
            </w:tcBorders>
            <w:shd w:fill="F7F8FA" w:val="clear"/>
            <w:tcMar>
              <w:top w:type="dxa" w:w="100"/>
              <w:left w:type="dxa" w:w="150"/>
              <w:bottom w:type="dxa" w:w="100"/>
              <w:right w:type="dxa" w:w="150"/>
            </w:tcMar>
          </w:tcPr>
          <w:p>
            <w:pPr>
              <w:jc w:val="center"/>
            </w:pPr>
            <w:r>
              <w:rPr>
                <w:rFonts w:ascii="Arial" w:cs="Arial" w:eastAsia="Arial" w:hAnsi="Arial"/>
                <w:b/>
                <w:bCs/>
                <w:color w:val="C9A84C"/>
                <w:sz w:val="20"/>
                <w:szCs w:val="20"/>
              </w:rPr>
              <w:t xml:space="preserve">TIER 2</w:t>
            </w:r>
          </w:p>
        </w:tc>
        <w:tc>
          <w:tcPr>
            <w:tcW w:type="dxa" w:w="5160"/>
            <w:tcBorders>
              <w:top w:val="single" w:color="DDDDDD" w:sz="1"/>
              <w:left w:val="single" w:color="DDDDDD" w:sz="1"/>
              <w:bottom w:val="single" w:color="DDDDDD" w:sz="1"/>
              <w:right w:val="single" w:color="DDDDDD" w:sz="1"/>
            </w:tcBorders>
            <w:shd w:fill="F7F8FA" w:val="clear"/>
            <w:tcMar>
              <w:top w:type="dxa" w:w="100"/>
              <w:left w:type="dxa" w:w="150"/>
              <w:bottom w:type="dxa" w:w="100"/>
              <w:right w:type="dxa" w:w="150"/>
            </w:tcMar>
          </w:tcPr>
          <w:p>
            <w:r>
              <w:rPr>
                <w:rFonts w:ascii="Arial" w:cs="Arial" w:eastAsia="Arial" w:hAnsi="Arial"/>
                <w:color w:val="555555"/>
                <w:sz w:val="19"/>
                <w:szCs w:val="19"/>
              </w:rPr>
              <w:t xml:space="preserve">Retained. Yield generated by MEV Arb Engine flows back through router per existing allocation.</w:t>
            </w:r>
          </w:p>
        </w:tc>
      </w:tr>
      <w:tr>
        <w:tc>
          <w:tcPr>
            <w:tcW w:type="dxa" w:w="2800"/>
            <w:tcBorders>
              <w:top w:val="single" w:color="DDDDDD" w:sz="1"/>
              <w:left w:val="single" w:color="DDDDDD" w:sz="1"/>
              <w:bottom w:val="single" w:color="DDDDDD" w:sz="1"/>
              <w:right w:val="single" w:color="DDDDDD" w:sz="1"/>
            </w:tcBorders>
            <w:shd w:fill="F7F8FA" w:val="clear"/>
            <w:tcMar>
              <w:top w:type="dxa" w:w="100"/>
              <w:left w:type="dxa" w:w="150"/>
              <w:bottom w:type="dxa" w:w="100"/>
              <w:right w:type="dxa" w:w="150"/>
            </w:tcMar>
          </w:tcPr>
          <w:p>
            <w:r>
              <w:rPr>
                <w:rFonts w:ascii="Arial" w:cs="Arial" w:eastAsia="Arial" w:hAnsi="Arial"/>
                <w:b/>
                <w:bCs/>
                <w:sz w:val="20"/>
                <w:szCs w:val="20"/>
              </w:rPr>
              <w:t xml:space="preserve">Protocol Access Subscriptions</w:t>
            </w:r>
          </w:p>
        </w:tc>
        <w:tc>
          <w:tcPr>
            <w:tcW w:type="dxa" w:w="1400"/>
            <w:tcBorders>
              <w:top w:val="single" w:color="DDDDDD" w:sz="1"/>
              <w:left w:val="single" w:color="DDDDDD" w:sz="1"/>
              <w:bottom w:val="single" w:color="DDDDDD" w:sz="1"/>
              <w:right w:val="single" w:color="DDDDDD" w:sz="1"/>
            </w:tcBorders>
            <w:shd w:fill="F7F8FA" w:val="clear"/>
            <w:tcMar>
              <w:top w:type="dxa" w:w="100"/>
              <w:left w:type="dxa" w:w="150"/>
              <w:bottom w:type="dxa" w:w="100"/>
              <w:right w:type="dxa" w:w="150"/>
            </w:tcMar>
          </w:tcPr>
          <w:p>
            <w:pPr>
              <w:jc w:val="center"/>
            </w:pPr>
            <w:r>
              <w:rPr>
                <w:rFonts w:ascii="Arial" w:cs="Arial" w:eastAsia="Arial" w:hAnsi="Arial"/>
                <w:b/>
                <w:bCs/>
                <w:color w:val="C9A84C"/>
                <w:sz w:val="20"/>
                <w:szCs w:val="20"/>
              </w:rPr>
              <w:t xml:space="preserve">TIER 2</w:t>
            </w:r>
          </w:p>
        </w:tc>
        <w:tc>
          <w:tcPr>
            <w:tcW w:type="dxa" w:w="5160"/>
            <w:tcBorders>
              <w:top w:val="single" w:color="DDDDDD" w:sz="1"/>
              <w:left w:val="single" w:color="DDDDDD" w:sz="1"/>
              <w:bottom w:val="single" w:color="DDDDDD" w:sz="1"/>
              <w:right w:val="single" w:color="DDDDDD" w:sz="1"/>
            </w:tcBorders>
            <w:shd w:fill="F7F8FA" w:val="clear"/>
            <w:tcMar>
              <w:top w:type="dxa" w:w="100"/>
              <w:left w:type="dxa" w:w="150"/>
              <w:bottom w:type="dxa" w:w="100"/>
              <w:right w:type="dxa" w:w="150"/>
            </w:tcMar>
          </w:tcPr>
          <w:p>
            <w:r>
              <w:rPr>
                <w:rFonts w:ascii="Arial" w:cs="Arial" w:eastAsia="Arial" w:hAnsi="Arial"/>
                <w:color w:val="555555"/>
                <w:sz w:val="19"/>
                <w:szCs w:val="19"/>
              </w:rPr>
              <w:t xml:space="preserve">New. B2B licensing revenue routed directly into Distribution layer (Unified Revenue Router).</w:t>
            </w:r>
          </w:p>
        </w:tc>
      </w:tr>
      <w:tr>
        <w:tc>
          <w:tcPr>
            <w:tcW w:type="dxa" w:w="28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r>
              <w:rPr>
                <w:rFonts w:ascii="Arial" w:cs="Arial" w:eastAsia="Arial" w:hAnsi="Arial"/>
                <w:b/>
                <w:bCs/>
                <w:sz w:val="20"/>
                <w:szCs w:val="20"/>
              </w:rPr>
              <w:t xml:space="preserve">Oracle Access Fees</w:t>
            </w:r>
          </w:p>
        </w:tc>
        <w:tc>
          <w:tcPr>
            <w:tcW w:type="dxa" w:w="14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pPr>
              <w:jc w:val="center"/>
            </w:pPr>
            <w:r>
              <w:rPr>
                <w:rFonts w:ascii="Arial" w:cs="Arial" w:eastAsia="Arial" w:hAnsi="Arial"/>
                <w:b/>
                <w:bCs/>
                <w:color w:val="C9A84C"/>
                <w:sz w:val="20"/>
                <w:szCs w:val="20"/>
              </w:rPr>
              <w:t xml:space="preserve">TIER 3</w:t>
            </w:r>
          </w:p>
        </w:tc>
        <w:tc>
          <w:tcPr>
            <w:tcW w:type="dxa" w:w="516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r>
              <w:rPr>
                <w:rFonts w:ascii="Arial" w:cs="Arial" w:eastAsia="Arial" w:hAnsi="Arial"/>
                <w:color w:val="555555"/>
                <w:sz w:val="19"/>
                <w:szCs w:val="19"/>
              </w:rPr>
              <w:t xml:space="preserve">Retained. Phase 2 activation — routes through existing oracle fee pathway.</w:t>
            </w:r>
          </w:p>
        </w:tc>
      </w:tr>
      <w:tr>
        <w:tc>
          <w:tcPr>
            <w:tcW w:type="dxa" w:w="28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r>
              <w:rPr>
                <w:rFonts w:ascii="Arial" w:cs="Arial" w:eastAsia="Arial" w:hAnsi="Arial"/>
                <w:b/>
                <w:bCs/>
                <w:sz w:val="20"/>
                <w:szCs w:val="20"/>
              </w:rPr>
              <w:t xml:space="preserve">Data Rail Licensing</w:t>
            </w:r>
          </w:p>
        </w:tc>
        <w:tc>
          <w:tcPr>
            <w:tcW w:type="dxa" w:w="140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pPr>
              <w:jc w:val="center"/>
            </w:pPr>
            <w:r>
              <w:rPr>
                <w:rFonts w:ascii="Arial" w:cs="Arial" w:eastAsia="Arial" w:hAnsi="Arial"/>
                <w:b/>
                <w:bCs/>
                <w:color w:val="C9A84C"/>
                <w:sz w:val="20"/>
                <w:szCs w:val="20"/>
              </w:rPr>
              <w:t xml:space="preserve">TIER 3</w:t>
            </w:r>
          </w:p>
        </w:tc>
        <w:tc>
          <w:tcPr>
            <w:tcW w:type="dxa" w:w="5160"/>
            <w:tcBorders>
              <w:top w:val="single" w:color="DDDDDD" w:sz="1"/>
              <w:left w:val="single" w:color="DDDDDD" w:sz="1"/>
              <w:bottom w:val="single" w:color="DDDDDD" w:sz="1"/>
              <w:right w:val="single" w:color="DDDDDD" w:sz="1"/>
            </w:tcBorders>
            <w:shd w:fill="E8F7FB" w:val="clear"/>
            <w:tcMar>
              <w:top w:type="dxa" w:w="100"/>
              <w:left w:type="dxa" w:w="150"/>
              <w:bottom w:type="dxa" w:w="100"/>
              <w:right w:type="dxa" w:w="150"/>
            </w:tcMar>
          </w:tcPr>
          <w:p>
            <w:r>
              <w:rPr>
                <w:rFonts w:ascii="Arial" w:cs="Arial" w:eastAsia="Arial" w:hAnsi="Arial"/>
                <w:color w:val="555555"/>
                <w:sz w:val="19"/>
                <w:szCs w:val="19"/>
              </w:rPr>
              <w:t xml:space="preserve">Retained. Phase 3+ activation — 100% behavioral data revenue remains ecosystem-owned.</w:t>
            </w:r>
          </w:p>
        </w:tc>
      </w:tr>
    </w:tbl>
    <w:p>
      <w:pPr>
        <w:spacing w:after="80"/>
      </w:pPr>
    </w:p>
    <w:p>
      <w:pPr>
        <w:pStyle w:val="Heading2"/>
        <w:spacing w:after="160" w:before="300"/>
      </w:pPr>
      <w:r>
        <w:rPr>
          <w:rFonts w:ascii="Arial" w:cs="Arial" w:eastAsia="Arial" w:hAnsi="Arial"/>
          <w:b/>
          <w:bCs/>
          <w:color w:val="0D1117"/>
          <w:sz w:val="26"/>
          <w:szCs w:val="26"/>
        </w:rPr>
        <w:t xml:space="preserve">3.2 — Downstream Allocation (Unchanged)</w:t>
      </w:r>
    </w:p>
    <w:p>
      <w:pPr>
        <w:spacing w:after="160"/>
      </w:pPr>
      <w:r>
        <w:rPr>
          <w:rFonts w:ascii="Arial" w:cs="Arial" w:eastAsia="Arial" w:hAnsi="Arial"/>
          <w:b w:val="false"/>
          <w:bCs w:val="false"/>
          <w:color w:val="222222"/>
          <w:sz w:val="22"/>
          <w:szCs w:val="22"/>
        </w:rPr>
        <w:t xml:space="preserve">All revenue entering the router continues to be allocated per the locked Phase 1a contract ratios. These are not modified by this revision: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ALLOCATION</w:t>
            </w:r>
          </w:p>
        </w:tc>
        <w:tc>
          <w:tcPr>
            <w:tcW w:type="dxa" w:w="12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636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DESTINATION &amp; PURPOSE</w:t>
            </w:r>
          </w:p>
        </w:tc>
      </w:tr>
      <w:tr>
        <w:tc>
          <w:tcPr>
            <w:tcW w:type="dxa" w:w="180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b/>
                <w:bCs/>
                <w:sz w:val="20"/>
                <w:szCs w:val="20"/>
              </w:rPr>
              <w:t xml:space="preserve">Treasury Vault</w:t>
            </w:r>
          </w:p>
        </w:tc>
        <w:tc>
          <w:tcPr>
            <w:tcW w:type="dxa" w:w="1200"/>
            <w:tcBorders>
              <w:top w:val="single" w:color="DDDDDD" w:sz="1"/>
              <w:left w:val="single" w:color="DDDDDD" w:sz="1"/>
              <w:bottom w:val="single" w:color="DDDDDD" w:sz="1"/>
              <w:right w:val="single" w:color="DDDDDD" w:sz="1"/>
            </w:tcBorders>
            <w:shd w:fill="E8F7FB" w:val="clear"/>
            <w:tcMar>
              <w:top w:type="dxa" w:w="90"/>
              <w:left w:type="dxa" w:w="150"/>
              <w:bottom w:type="dxa" w:w="90"/>
              <w:right w:type="dxa" w:w="150"/>
            </w:tcMar>
          </w:tcPr>
          <w:p>
            <w:pPr>
              <w:jc w:val="center"/>
            </w:pPr>
            <w:r>
              <w:rPr>
                <w:rFonts w:ascii="Arial" w:cs="Arial" w:eastAsia="Arial" w:hAnsi="Arial"/>
                <w:b/>
                <w:bCs/>
                <w:color w:val="00B4D8"/>
                <w:sz w:val="20"/>
                <w:szCs w:val="20"/>
              </w:rPr>
              <w:t xml:space="preserve">40%</w:t>
            </w:r>
          </w:p>
        </w:tc>
        <w:tc>
          <w:tcPr>
            <w:tcW w:type="dxa" w:w="636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color w:val="555555"/>
                <w:sz w:val="19"/>
                <w:szCs w:val="19"/>
              </w:rPr>
              <w:t xml:space="preserve">Permanent capital reserve. Now seeds earlier via Tier 1 genesis sources.</w:t>
            </w:r>
          </w:p>
        </w:tc>
      </w:tr>
      <w:tr>
        <w:tc>
          <w:tcPr>
            <w:tcW w:type="dxa" w:w="180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b/>
                <w:bCs/>
                <w:sz w:val="20"/>
                <w:szCs w:val="20"/>
              </w:rPr>
              <w:t xml:space="preserve">MEV Bankroll</w:t>
            </w:r>
          </w:p>
        </w:tc>
        <w:tc>
          <w:tcPr>
            <w:tcW w:type="dxa" w:w="1200"/>
            <w:tcBorders>
              <w:top w:val="single" w:color="DDDDDD" w:sz="1"/>
              <w:left w:val="single" w:color="DDDDDD" w:sz="1"/>
              <w:bottom w:val="single" w:color="DDDDDD" w:sz="1"/>
              <w:right w:val="single" w:color="DDDDDD" w:sz="1"/>
            </w:tcBorders>
            <w:shd w:fill="E8F7FB" w:val="clear"/>
            <w:tcMar>
              <w:top w:type="dxa" w:w="90"/>
              <w:left w:type="dxa" w:w="150"/>
              <w:bottom w:type="dxa" w:w="90"/>
              <w:right w:type="dxa" w:w="150"/>
            </w:tcMar>
          </w:tcPr>
          <w:p>
            <w:pPr>
              <w:jc w:val="center"/>
            </w:pPr>
            <w:r>
              <w:rPr>
                <w:rFonts w:ascii="Arial" w:cs="Arial" w:eastAsia="Arial" w:hAnsi="Arial"/>
                <w:b/>
                <w:bCs/>
                <w:color w:val="00B4D8"/>
                <w:sz w:val="20"/>
                <w:szCs w:val="20"/>
              </w:rPr>
              <w:t xml:space="preserve">25%</w:t>
            </w:r>
          </w:p>
        </w:tc>
        <w:tc>
          <w:tcPr>
            <w:tcW w:type="dxa" w:w="636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color w:val="555555"/>
                <w:sz w:val="19"/>
                <w:szCs w:val="19"/>
              </w:rPr>
              <w:t xml:space="preserve">MEV engine fuel. Bootstrap deadlock resolved — Tier 1 sources fund bankroll before MEV mainnet launch.</w:t>
            </w:r>
          </w:p>
        </w:tc>
      </w:tr>
      <w:tr>
        <w:tc>
          <w:tcPr>
            <w:tcW w:type="dxa" w:w="180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b/>
                <w:bCs/>
                <w:sz w:val="20"/>
                <w:szCs w:val="20"/>
              </w:rPr>
              <w:t xml:space="preserve">Ops/Dev</w:t>
            </w:r>
          </w:p>
        </w:tc>
        <w:tc>
          <w:tcPr>
            <w:tcW w:type="dxa" w:w="1200"/>
            <w:tcBorders>
              <w:top w:val="single" w:color="DDDDDD" w:sz="1"/>
              <w:left w:val="single" w:color="DDDDDD" w:sz="1"/>
              <w:bottom w:val="single" w:color="DDDDDD" w:sz="1"/>
              <w:right w:val="single" w:color="DDDDDD" w:sz="1"/>
            </w:tcBorders>
            <w:shd w:fill="E8F7FB" w:val="clear"/>
            <w:tcMar>
              <w:top w:type="dxa" w:w="90"/>
              <w:left w:type="dxa" w:w="150"/>
              <w:bottom w:type="dxa" w:w="90"/>
              <w:right w:type="dxa" w:w="150"/>
            </w:tcMar>
          </w:tcPr>
          <w:p>
            <w:pPr>
              <w:jc w:val="center"/>
            </w:pPr>
            <w:r>
              <w:rPr>
                <w:rFonts w:ascii="Arial" w:cs="Arial" w:eastAsia="Arial" w:hAnsi="Arial"/>
                <w:b/>
                <w:bCs/>
                <w:color w:val="00B4D8"/>
                <w:sz w:val="20"/>
                <w:szCs w:val="20"/>
              </w:rPr>
              <w:t xml:space="preserve">15%</w:t>
            </w:r>
          </w:p>
        </w:tc>
        <w:tc>
          <w:tcPr>
            <w:tcW w:type="dxa" w:w="636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color w:val="555555"/>
                <w:sz w:val="19"/>
                <w:szCs w:val="19"/>
              </w:rPr>
              <w:t xml:space="preserve">Operational continuity. Now funded from Day 0 rather than pending MonadSpin activation.</w:t>
            </w:r>
          </w:p>
        </w:tc>
      </w:tr>
      <w:tr>
        <w:tc>
          <w:tcPr>
            <w:tcW w:type="dxa" w:w="180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b/>
                <w:bCs/>
                <w:sz w:val="20"/>
                <w:szCs w:val="20"/>
              </w:rPr>
              <w:t xml:space="preserve">Data Yield</w:t>
            </w:r>
          </w:p>
        </w:tc>
        <w:tc>
          <w:tcPr>
            <w:tcW w:type="dxa" w:w="1200"/>
            <w:tcBorders>
              <w:top w:val="single" w:color="DDDDDD" w:sz="1"/>
              <w:left w:val="single" w:color="DDDDDD" w:sz="1"/>
              <w:bottom w:val="single" w:color="DDDDDD" w:sz="1"/>
              <w:right w:val="single" w:color="DDDDDD" w:sz="1"/>
            </w:tcBorders>
            <w:shd w:fill="E8F7FB" w:val="clear"/>
            <w:tcMar>
              <w:top w:type="dxa" w:w="90"/>
              <w:left w:type="dxa" w:w="150"/>
              <w:bottom w:type="dxa" w:w="90"/>
              <w:right w:type="dxa" w:w="150"/>
            </w:tcMar>
          </w:tcPr>
          <w:p>
            <w:pPr>
              <w:jc w:val="center"/>
            </w:pPr>
            <w:r>
              <w:rPr>
                <w:rFonts w:ascii="Arial" w:cs="Arial" w:eastAsia="Arial" w:hAnsi="Arial"/>
                <w:b/>
                <w:bCs/>
                <w:color w:val="00B4D8"/>
                <w:sz w:val="20"/>
                <w:szCs w:val="20"/>
              </w:rPr>
              <w:t xml:space="preserve">10%</w:t>
            </w:r>
          </w:p>
        </w:tc>
        <w:tc>
          <w:tcPr>
            <w:tcW w:type="dxa" w:w="636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color w:val="555555"/>
                <w:sz w:val="19"/>
                <w:szCs w:val="19"/>
              </w:rPr>
              <w:t xml:space="preserve">Data layer reinvestment. Unchanged.</w:t>
            </w:r>
          </w:p>
        </w:tc>
      </w:tr>
      <w:tr>
        <w:tc>
          <w:tcPr>
            <w:tcW w:type="dxa" w:w="180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b/>
                <w:bCs/>
                <w:sz w:val="20"/>
                <w:szCs w:val="20"/>
              </w:rPr>
              <w:t xml:space="preserve">Delegate Pools</w:t>
            </w:r>
          </w:p>
        </w:tc>
        <w:tc>
          <w:tcPr>
            <w:tcW w:type="dxa" w:w="1200"/>
            <w:tcBorders>
              <w:top w:val="single" w:color="DDDDDD" w:sz="1"/>
              <w:left w:val="single" w:color="DDDDDD" w:sz="1"/>
              <w:bottom w:val="single" w:color="DDDDDD" w:sz="1"/>
              <w:right w:val="single" w:color="DDDDDD" w:sz="1"/>
            </w:tcBorders>
            <w:shd w:fill="E8F7FB" w:val="clear"/>
            <w:tcMar>
              <w:top w:type="dxa" w:w="90"/>
              <w:left w:type="dxa" w:w="150"/>
              <w:bottom w:type="dxa" w:w="90"/>
              <w:right w:type="dxa" w:w="150"/>
            </w:tcMar>
          </w:tcPr>
          <w:p>
            <w:pPr>
              <w:jc w:val="center"/>
            </w:pPr>
            <w:r>
              <w:rPr>
                <w:rFonts w:ascii="Arial" w:cs="Arial" w:eastAsia="Arial" w:hAnsi="Arial"/>
                <w:b/>
                <w:bCs/>
                <w:color w:val="00B4D8"/>
                <w:sz w:val="20"/>
                <w:szCs w:val="20"/>
              </w:rPr>
              <w:t xml:space="preserve">5%</w:t>
            </w:r>
          </w:p>
        </w:tc>
        <w:tc>
          <w:tcPr>
            <w:tcW w:type="dxa" w:w="636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color w:val="555555"/>
                <w:sz w:val="19"/>
                <w:szCs w:val="19"/>
              </w:rPr>
              <w:t xml:space="preserve">Participant incentives. Pool bonds from Tier 1 supplement this pool directly.</w:t>
            </w:r>
          </w:p>
        </w:tc>
      </w:tr>
      <w:tr>
        <w:tc>
          <w:tcPr>
            <w:tcW w:type="dxa" w:w="180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b/>
                <w:bCs/>
                <w:sz w:val="20"/>
                <w:szCs w:val="20"/>
              </w:rPr>
              <w:t xml:space="preserve">Founder Sink</w:t>
            </w:r>
          </w:p>
        </w:tc>
        <w:tc>
          <w:tcPr>
            <w:tcW w:type="dxa" w:w="1200"/>
            <w:tcBorders>
              <w:top w:val="single" w:color="DDDDDD" w:sz="1"/>
              <w:left w:val="single" w:color="DDDDDD" w:sz="1"/>
              <w:bottom w:val="single" w:color="DDDDDD" w:sz="1"/>
              <w:right w:val="single" w:color="DDDDDD" w:sz="1"/>
            </w:tcBorders>
            <w:shd w:fill="FDECEA" w:val="clear"/>
            <w:tcMar>
              <w:top w:type="dxa" w:w="90"/>
              <w:left w:type="dxa" w:w="150"/>
              <w:bottom w:type="dxa" w:w="90"/>
              <w:right w:type="dxa" w:w="150"/>
            </w:tcMar>
          </w:tcPr>
          <w:p>
            <w:pPr>
              <w:jc w:val="center"/>
            </w:pPr>
            <w:r>
              <w:rPr>
                <w:rFonts w:ascii="Arial" w:cs="Arial" w:eastAsia="Arial" w:hAnsi="Arial"/>
                <w:b/>
                <w:bCs/>
                <w:color w:val="C0392B"/>
                <w:sz w:val="20"/>
                <w:szCs w:val="20"/>
              </w:rPr>
              <w:t xml:space="preserve">5%</w:t>
            </w:r>
          </w:p>
        </w:tc>
        <w:tc>
          <w:tcPr>
            <w:tcW w:type="dxa" w:w="6360"/>
            <w:tcBorders>
              <w:top w:val="single" w:color="DDDDDD" w:sz="1"/>
              <w:left w:val="single" w:color="DDDDDD" w:sz="1"/>
              <w:bottom w:val="single" w:color="DDDDDD" w:sz="1"/>
              <w:right w:val="single" w:color="DDDDDD" w:sz="1"/>
            </w:tcBorders>
            <w:tcMar>
              <w:top w:type="dxa" w:w="90"/>
              <w:left w:type="dxa" w:w="150"/>
              <w:bottom w:type="dxa" w:w="90"/>
              <w:right w:type="dxa" w:w="150"/>
            </w:tcMar>
          </w:tcPr>
          <w:p>
            <w:r>
              <w:rPr>
                <w:rFonts w:ascii="Arial" w:cs="Arial" w:eastAsia="Arial" w:hAnsi="Arial"/>
                <w:color w:val="555555"/>
                <w:sz w:val="19"/>
                <w:szCs w:val="19"/>
              </w:rPr>
              <w:t xml:space="preserve">Permanent hard cap. No override. Monitored by Dove for concentration anomalies. Unchanged.</w:t>
            </w:r>
          </w:p>
        </w:tc>
      </w:tr>
    </w:tbl>
    <w:p>
      <w:pPr>
        <w:spacing w:after="80"/>
      </w:pPr>
    </w:p>
    <w:p>
      <w:r>
        <w:br w:type="page"/>
      </w:r>
    </w:p>
    <w:p>
      <w:pPr>
        <w:pBdr>
          <w:bottom w:val="single" w:color="8B0000" w:sz="6"/>
        </w:pBdr>
        <w:spacing w:after="160" w:before="160"/>
      </w:pPr>
    </w:p>
    <w:p>
      <w:pPr>
        <w:pStyle w:val="Heading1"/>
        <w:spacing w:after="200" w:before="400"/>
      </w:pPr>
      <w:r>
        <w:rPr>
          <w:rFonts w:ascii="Arial" w:cs="Arial" w:eastAsia="Arial" w:hAnsi="Arial"/>
          <w:b/>
          <w:bCs/>
          <w:color w:val="0D1117"/>
          <w:sz w:val="36"/>
          <w:szCs w:val="36"/>
        </w:rPr>
        <w:t xml:space="preserve">4. Dove Protocol Alignment Check</w:t>
      </w:r>
    </w:p>
    <w:p>
      <w:pPr>
        <w:spacing w:after="160"/>
      </w:pPr>
      <w:r>
        <w:rPr>
          <w:rFonts w:ascii="Arial" w:cs="Arial" w:eastAsia="Arial" w:hAnsi="Arial"/>
          <w:b w:val="false"/>
          <w:bCs w:val="false"/>
          <w:color w:val="222222"/>
          <w:sz w:val="22"/>
          <w:szCs w:val="22"/>
        </w:rPr>
        <w:t xml:space="preserve">Per the Conscience Architecture, all structural changes must be evaluated against the four Dove axioms. This revision passes on all four axes: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400"/>
        <w:gridCol w:w="2460"/>
      </w:tblGrid>
      <w:tr>
        <w:trPr>
          <w:tblHeader/>
        </w:trPr>
        <w:tc>
          <w:tcPr>
            <w:tcW w:type="dxa" w:w="18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AXIOM</w:t>
            </w:r>
          </w:p>
        </w:tc>
        <w:tc>
          <w:tcPr>
            <w:tcW w:type="dxa" w:w="27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ALIGNMENT SIGNAL</w:t>
            </w:r>
          </w:p>
        </w:tc>
        <w:tc>
          <w:tcPr>
            <w:tcW w:type="dxa" w:w="24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DRIFT RISK</w:t>
            </w:r>
          </w:p>
        </w:tc>
        <w:tc>
          <w:tcPr>
            <w:tcW w:type="dxa" w:w="246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VERDICT</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Source</w:t>
            </w:r>
          </w:p>
        </w:tc>
        <w:tc>
          <w:tcPr>
            <w:tcW w:type="dxa" w:w="27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19"/>
                <w:szCs w:val="19"/>
              </w:rPr>
              <w:t xml:space="preserve">Revenue points toward the organism and the participants, not toward the founder. Founder Sink remains hard-capped at 5%.</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None. Tier 1 sources route 100% through existing locked router — no new founder allocations.</w:t>
            </w:r>
          </w:p>
        </w:tc>
        <w:tc>
          <w:tcPr>
            <w:tcW w:type="dxa" w:w="246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b/>
                <w:bCs/>
                <w:color w:val="27AE60"/>
                <w:sz w:val="20"/>
                <w:szCs w:val="20"/>
              </w:rPr>
              <w:t xml:space="preserve">ALIGNED</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Emanation</w:t>
            </w:r>
          </w:p>
        </w:tc>
        <w:tc>
          <w:tcPr>
            <w:tcW w:type="dxa" w:w="27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19"/>
                <w:szCs w:val="19"/>
              </w:rPr>
              <w:t xml:space="preserve">Value is returned upstream — Key NFT fees and Profile Minting Fees are earned by genuine participant actions, not extracted passively.</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Minting fees must remain proportional — if set too high they block participation rather than enable it. Dove should monitor.</w:t>
            </w:r>
          </w:p>
        </w:tc>
        <w:tc>
          <w:tcPr>
            <w:tcW w:type="dxa" w:w="246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b/>
                <w:bCs/>
                <w:color w:val="27AE60"/>
                <w:sz w:val="20"/>
                <w:szCs w:val="20"/>
              </w:rPr>
              <w:t xml:space="preserve">ALIGNED</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Demiurge</w:t>
            </w:r>
          </w:p>
        </w:tc>
        <w:tc>
          <w:tcPr>
            <w:tcW w:type="dxa" w:w="27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19"/>
                <w:szCs w:val="19"/>
              </w:rPr>
              <w:t xml:space="preserve">Constraints (liquidity, time, risk) are acknowledged. Tier 1 sources are designed specifically to operate within Phase 1a contract constraints — no magical thinking required.</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None. All Tier 1 sources are achievable within existing locked contracts.</w:t>
            </w:r>
          </w:p>
        </w:tc>
        <w:tc>
          <w:tcPr>
            <w:tcW w:type="dxa" w:w="246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b/>
                <w:bCs/>
                <w:color w:val="27AE60"/>
                <w:sz w:val="20"/>
                <w:szCs w:val="20"/>
              </w:rPr>
              <w:t xml:space="preserve">ALIGNED</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Reciprocal Loop</w:t>
            </w:r>
          </w:p>
        </w:tc>
        <w:tc>
          <w:tcPr>
            <w:tcW w:type="dxa" w:w="27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19"/>
                <w:szCs w:val="19"/>
              </w:rPr>
              <w:t xml:space="preserve">Multi-source revenue centers the system pattern rather than a single product. No individual source becoming the system's identity — maintains sovereign character.</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Ego capture risk exists if any single Tier 2 source (e.g. MonadSpin) is over-marketed as THE system.</w:t>
            </w:r>
          </w:p>
        </w:tc>
        <w:tc>
          <w:tcPr>
            <w:tcW w:type="dxa" w:w="246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b/>
                <w:bCs/>
                <w:color w:val="27AE60"/>
                <w:sz w:val="20"/>
                <w:szCs w:val="20"/>
              </w:rPr>
              <w:t xml:space="preserve">ALIGNED</w:t>
            </w:r>
          </w:p>
        </w:tc>
      </w:tr>
    </w:tbl>
    <w:p>
      <w:pPr>
        <w:spacing w:after="80"/>
      </w:pPr>
    </w:p>
    <w:p>
      <w:r>
        <w:br w:type="page"/>
      </w:r>
    </w:p>
    <w:p>
      <w:pPr>
        <w:pBdr>
          <w:bottom w:val="single" w:color="00B4D8" w:sz="6"/>
        </w:pBdr>
        <w:spacing w:after="160" w:before="160"/>
      </w:pPr>
    </w:p>
    <w:p>
      <w:pPr>
        <w:pStyle w:val="Heading1"/>
        <w:spacing w:after="200" w:before="400"/>
      </w:pPr>
      <w:r>
        <w:rPr>
          <w:rFonts w:ascii="Arial" w:cs="Arial" w:eastAsia="Arial" w:hAnsi="Arial"/>
          <w:b/>
          <w:bCs/>
          <w:color w:val="0D1117"/>
          <w:sz w:val="36"/>
          <w:szCs w:val="36"/>
        </w:rPr>
        <w:t xml:space="preserve">5. Updated 15-Layer Stratigraphy — Layer 1 Revision</w:t>
      </w:r>
    </w:p>
    <w:p>
      <w:pPr>
        <w:spacing w:after="160"/>
      </w:pPr>
      <w:r>
        <w:rPr>
          <w:rFonts w:ascii="Arial" w:cs="Arial" w:eastAsia="Arial" w:hAnsi="Arial"/>
          <w:b w:val="false"/>
          <w:bCs w:val="false"/>
          <w:color w:val="222222"/>
          <w:sz w:val="22"/>
          <w:szCs w:val="22"/>
        </w:rPr>
        <w:t xml:space="preserve">This amendment modifies only Layer 1 (Inflow &amp; Capital) of the 15-Layer Stratigraphy. All other layers remain unchanged from MOF v2.3.0.</w:t>
      </w:r>
    </w:p>
    <w:p>
      <w:pPr>
        <w:spacing w:after="80"/>
      </w:pPr>
    </w:p>
    <w:p>
      <w:pPr>
        <w:pStyle w:val="Heading2"/>
        <w:spacing w:after="160" w:before="300"/>
      </w:pPr>
      <w:r>
        <w:rPr>
          <w:rFonts w:ascii="Arial" w:cs="Arial" w:eastAsia="Arial" w:hAnsi="Arial"/>
          <w:b/>
          <w:bCs/>
          <w:color w:val="00B4D8"/>
          <w:sz w:val="26"/>
          <w:szCs w:val="26"/>
        </w:rPr>
        <w:t xml:space="preserve">Layer 1 — Inflow &amp; Capital (REVISED)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SUB-LAYER</w:t>
            </w:r>
          </w:p>
        </w:tc>
        <w:tc>
          <w:tcPr>
            <w:tcW w:type="dxa" w:w="24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536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 (v2.4)</w:t>
            </w:r>
          </w:p>
        </w:tc>
      </w:tr>
      <w:tr>
        <w:tc>
          <w:tcPr>
            <w:tcW w:type="dxa" w:w="16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b/>
                <w:bCs/>
                <w:color w:val="27AE60"/>
                <w:sz w:val="19"/>
                <w:szCs w:val="19"/>
              </w:rPr>
              <w:t xml:space="preserve">1.0
(NEW)</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The Genesis Sources</w:t>
            </w:r>
          </w:p>
        </w:tc>
        <w:tc>
          <w:tcPr>
            <w:tcW w:type="dxa" w:w="5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19"/>
                <w:szCs w:val="19"/>
              </w:rPr>
              <w:t xml:space="preserve">Agent Key NFT Sales + Psychometric Profile Minting Fees + Founding Delegate Pool Bonds. Contract-native revenue. Operational at Phase 1a contract deployment. Seeds the Treasury and MEV Bankroll before any user-facing product is live.</w:t>
            </w:r>
          </w:p>
        </w:tc>
      </w:tr>
      <w:tr>
        <w:tc>
          <w:tcPr>
            <w:tcW w:type="dxa" w:w="1600"/>
            <w:tcBorders>
              <w:top w:val="single" w:color="DDDDDD" w:sz="1"/>
              <w:left w:val="single" w:color="DDDDDD" w:sz="1"/>
              <w:bottom w:val="single" w:color="DDDDDD" w:sz="1"/>
              <w:right w:val="single" w:color="DDDDDD" w:sz="1"/>
            </w:tcBorders>
            <w:shd w:fill="FDF8EC"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1.1
(REVISED)</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The Multi-Funnel</w:t>
            </w:r>
          </w:p>
        </w:tc>
        <w:tc>
          <w:tcPr>
            <w:tcW w:type="dxa" w:w="5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19"/>
                <w:szCs w:val="19"/>
              </w:rPr>
              <w:t xml:space="preserve">MonadSpin (primary gamified funnel) + Protocol Access Subscriptions (B2B institutional inflow). Replaces 'The Funnel (MonadSpin)' as a multi-source participant intake layer. No single funnel dependency.</w:t>
            </w:r>
          </w:p>
        </w:tc>
      </w:tr>
      <w:tr>
        <w:tc>
          <w:tcPr>
            <w:tcW w:type="dxa" w:w="1600"/>
            <w:tcBorders>
              <w:top w:val="single" w:color="DDDDDD" w:sz="1"/>
              <w:left w:val="single" w:color="DDDDDD" w:sz="1"/>
              <w:bottom w:val="single" w:color="DDDDDD" w:sz="1"/>
              <w:right w:val="single" w:color="DDDDDD" w:sz="1"/>
            </w:tcBorders>
            <w:shd w:fill="F7F8FA" w:val="clear"/>
            <w:tcMar>
              <w:top w:type="dxa" w:w="100"/>
              <w:left w:type="dxa" w:w="150"/>
              <w:bottom w:type="dxa" w:w="100"/>
              <w:right w:type="dxa" w:w="150"/>
            </w:tcMar>
          </w:tcPr>
          <w:p>
            <w:pPr>
              <w:jc w:val="center"/>
            </w:pPr>
            <w:r>
              <w:rPr>
                <w:rFonts w:ascii="Arial" w:cs="Arial" w:eastAsia="Arial" w:hAnsi="Arial"/>
                <w:b/>
                <w:bCs/>
                <w:color w:val="4A5568"/>
                <w:sz w:val="19"/>
                <w:szCs w:val="19"/>
              </w:rPr>
              <w:t xml:space="preserve">1.2
(UNCHANGED)</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The Engine (MEV)</w:t>
            </w:r>
          </w:p>
        </w:tc>
        <w:tc>
          <w:tcPr>
            <w:tcW w:type="dxa" w:w="5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19"/>
                <w:szCs w:val="19"/>
              </w:rPr>
              <w:t xml:space="preserve">MEV Arb Engine. Grown by on-chain arbitrage strategy. Now fundable via Tier 1 genesis sources rather than waiting for MonadSpin. Unchanged in mechanism.</w:t>
            </w:r>
          </w:p>
        </w:tc>
      </w:tr>
      <w:tr>
        <w:tc>
          <w:tcPr>
            <w:tcW w:type="dxa" w:w="1600"/>
            <w:tcBorders>
              <w:top w:val="single" w:color="DDDDDD" w:sz="1"/>
              <w:left w:val="single" w:color="DDDDDD" w:sz="1"/>
              <w:bottom w:val="single" w:color="DDDDDD" w:sz="1"/>
              <w:right w:val="single" w:color="DDDDDD" w:sz="1"/>
            </w:tcBorders>
            <w:shd w:fill="F7F8FA" w:val="clear"/>
            <w:tcMar>
              <w:top w:type="dxa" w:w="100"/>
              <w:left w:type="dxa" w:w="150"/>
              <w:bottom w:type="dxa" w:w="100"/>
              <w:right w:type="dxa" w:w="150"/>
            </w:tcMar>
          </w:tcPr>
          <w:p>
            <w:pPr>
              <w:jc w:val="center"/>
            </w:pPr>
            <w:r>
              <w:rPr>
                <w:rFonts w:ascii="Arial" w:cs="Arial" w:eastAsia="Arial" w:hAnsi="Arial"/>
                <w:b/>
                <w:bCs/>
                <w:color w:val="4A5568"/>
                <w:sz w:val="19"/>
                <w:szCs w:val="19"/>
              </w:rPr>
              <w:t xml:space="preserve">1.3
(UNCHANGED)</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The Treasury</w:t>
            </w:r>
          </w:p>
        </w:tc>
        <w:tc>
          <w:tcPr>
            <w:tcW w:type="dxa" w:w="5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19"/>
                <w:szCs w:val="19"/>
              </w:rPr>
              <w:t xml:space="preserve">All revenue is routed and accumulated. Now receives inflow from Day 0 via Genesis Sources rather than remaining empty pending MonadSpin launch.</w:t>
            </w:r>
          </w:p>
        </w:tc>
      </w:tr>
    </w:tbl>
    <w:p>
      <w:pPr>
        <w:spacing w:after="80"/>
      </w:pPr>
    </w:p>
    <w:p>
      <w:pPr>
        <w:pBdr>
          <w:bottom w:val="single" w:color="4A5568" w:sz="6"/>
        </w:pBdr>
        <w:spacing w:after="160" w:before="160"/>
      </w:pPr>
    </w:p>
    <w:p>
      <w:pPr>
        <w:pStyle w:val="Heading1"/>
        <w:spacing w:after="200" w:before="400"/>
      </w:pPr>
      <w:r>
        <w:rPr>
          <w:rFonts w:ascii="Arial" w:cs="Arial" w:eastAsia="Arial" w:hAnsi="Arial"/>
          <w:b/>
          <w:bCs/>
          <w:color w:val="0D1117"/>
          <w:sz w:val="36"/>
          <w:szCs w:val="36"/>
        </w:rPr>
        <w:t xml:space="preserve">6. Implementation Honesty — Updated Matrix</w:t>
      </w:r>
    </w:p>
    <w:p>
      <w:pPr>
        <w:spacing w:after="160"/>
      </w:pPr>
      <w:r>
        <w:rPr>
          <w:rFonts w:ascii="Arial" w:cs="Arial" w:eastAsia="Arial" w:hAnsi="Arial"/>
          <w:b w:val="false"/>
          <w:bCs w:val="false"/>
          <w:color w:val="222222"/>
          <w:sz w:val="22"/>
          <w:szCs w:val="22"/>
        </w:rPr>
        <w:t xml:space="preserve">In the spirit of the Implementation Honesty Principle: nothing is canonical unless the implementation exists. The revised matrix reflects the updated global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ITEM</w:t>
            </w:r>
          </w:p>
        </w:tc>
        <w:tc>
          <w:tcPr>
            <w:tcW w:type="dxa" w:w="220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 (v2.4)</w:t>
            </w:r>
          </w:p>
        </w:tc>
        <w:tc>
          <w:tcPr>
            <w:tcW w:type="dxa" w:w="3360"/>
            <w:tcBorders>
              <w:top w:val="single" w:color="DDDDDD" w:sz="1"/>
              <w:left w:val="single" w:color="DDDDDD" w:sz="1"/>
              <w:bottom w:val="single" w:color="DDDDDD" w:sz="1"/>
              <w:right w:val="single" w:color="DDDDDD" w:sz="1"/>
            </w:tcBorders>
            <w:shd w:fill="1A2A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Core Philosophy / Axioms</w:t>
            </w:r>
          </w:p>
        </w:tc>
        <w:tc>
          <w:tcPr>
            <w:tcW w:type="dxa" w:w="20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b/>
                <w:bCs/>
                <w:color w:val="27AE60"/>
                <w:sz w:val="19"/>
                <w:szCs w:val="19"/>
              </w:rPr>
              <w:t xml:space="preserve">COMPLETE</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Unchanged</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Phase 1a Contracts (11 total)</w:t>
            </w:r>
          </w:p>
        </w:tc>
        <w:tc>
          <w:tcPr>
            <w:tcW w:type="dxa" w:w="2000"/>
            <w:tcBorders>
              <w:top w:val="single" w:color="DDDDDD" w:sz="1"/>
              <w:left w:val="single" w:color="DDDDDD" w:sz="1"/>
              <w:bottom w:val="single" w:color="DDDDDD" w:sz="1"/>
              <w:right w:val="single" w:color="DDDDDD" w:sz="1"/>
            </w:tcBorders>
            <w:shd w:fill="EAFAF1" w:val="clear"/>
            <w:tcMar>
              <w:top w:type="dxa" w:w="100"/>
              <w:left w:type="dxa" w:w="150"/>
              <w:bottom w:type="dxa" w:w="100"/>
              <w:right w:type="dxa" w:w="150"/>
            </w:tcMar>
          </w:tcPr>
          <w:p>
            <w:pPr>
              <w:jc w:val="center"/>
            </w:pPr>
            <w:r>
              <w:rPr>
                <w:rFonts w:ascii="Arial" w:cs="Arial" w:eastAsia="Arial" w:hAnsi="Arial"/>
                <w:b/>
                <w:bCs/>
                <w:color w:val="27AE60"/>
                <w:sz w:val="19"/>
                <w:szCs w:val="19"/>
              </w:rPr>
              <w:t xml:space="preserve">COMPLETE (LOCKED)</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Unchanged — Tier 1 sources operate within these</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Agent Key NFT Sales (Tier 1)</w:t>
            </w:r>
          </w:p>
        </w:tc>
        <w:tc>
          <w:tcPr>
            <w:tcW w:type="dxa" w:w="2000"/>
            <w:tcBorders>
              <w:top w:val="single" w:color="DDDDDD" w:sz="1"/>
              <w:left w:val="single" w:color="DDDDDD" w:sz="1"/>
              <w:bottom w:val="single" w:color="DDDDDD" w:sz="1"/>
              <w:right w:val="single" w:color="DDDDDD" w:sz="1"/>
            </w:tcBorders>
            <w:shd w:fill="FFF9E6"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READY TO ACTIVATE</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Requires fee parameter configuration in existing Key contract</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Profile Minting Fee (Tier 1)</w:t>
            </w:r>
          </w:p>
        </w:tc>
        <w:tc>
          <w:tcPr>
            <w:tcW w:type="dxa" w:w="2000"/>
            <w:tcBorders>
              <w:top w:val="single" w:color="DDDDDD" w:sz="1"/>
              <w:left w:val="single" w:color="DDDDDD" w:sz="1"/>
              <w:bottom w:val="single" w:color="DDDDDD" w:sz="1"/>
              <w:right w:val="single" w:color="DDDDDD" w:sz="1"/>
            </w:tcBorders>
            <w:shd w:fill="FFF9E6"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READY TO ACTIVATE</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Requires fee parameter in Profile verification contract</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Delegate Pool Bond (Tier 1)</w:t>
            </w:r>
          </w:p>
        </w:tc>
        <w:tc>
          <w:tcPr>
            <w:tcW w:type="dxa" w:w="2000"/>
            <w:tcBorders>
              <w:top w:val="single" w:color="DDDDDD" w:sz="1"/>
              <w:left w:val="single" w:color="DDDDDD" w:sz="1"/>
              <w:bottom w:val="single" w:color="DDDDDD" w:sz="1"/>
              <w:right w:val="single" w:color="DDDDDD" w:sz="1"/>
            </w:tcBorders>
            <w:shd w:fill="FFF9E6"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READY TO ACTIVATE</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Requires bond amount configuration in DAO layer</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Test Suite</w:t>
            </w:r>
          </w:p>
        </w:tc>
        <w:tc>
          <w:tcPr>
            <w:tcW w:type="dxa" w:w="200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pPr>
              <w:jc w:val="center"/>
            </w:pPr>
            <w:r>
              <w:rPr>
                <w:rFonts w:ascii="Arial" w:cs="Arial" w:eastAsia="Arial" w:hAnsi="Arial"/>
                <w:b/>
                <w:bCs/>
                <w:color w:val="C0392B"/>
                <w:sz w:val="19"/>
                <w:szCs w:val="19"/>
              </w:rPr>
              <w:t xml:space="preserve">NOT COMPLETE (BLOCKER)</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Unchanged — ISSUE-001, 002, 003 still active</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MEV Mainnet</w:t>
            </w:r>
          </w:p>
        </w:tc>
        <w:tc>
          <w:tcPr>
            <w:tcW w:type="dxa" w:w="2000"/>
            <w:tcBorders>
              <w:top w:val="single" w:color="DDDDDD" w:sz="1"/>
              <w:left w:val="single" w:color="DDDDDD" w:sz="1"/>
              <w:bottom w:val="single" w:color="DDDDDD" w:sz="1"/>
              <w:right w:val="single" w:color="DDDDDD" w:sz="1"/>
            </w:tcBorders>
            <w:shd w:fill="FFF9E6"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NOT LIVE (Testnet validated)</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Unchanged — bankroll now fundable via Tier 1</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MonadSpin</w:t>
            </w:r>
          </w:p>
        </w:tc>
        <w:tc>
          <w:tcPr>
            <w:tcW w:type="dxa" w:w="2000"/>
            <w:tcBorders>
              <w:top w:val="single" w:color="DDDDDD" w:sz="1"/>
              <w:left w:val="single" w:color="DDDDDD" w:sz="1"/>
              <w:bottom w:val="single" w:color="DDDDDD" w:sz="1"/>
              <w:right w:val="single" w:color="DDDDDD" w:sz="1"/>
            </w:tcBorders>
            <w:shd w:fill="FFF9E6"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PIPELINE (Step 5)</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Repositioned: one of several funnels, not THE funnel</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Protocol Access Subscriptions</w:t>
            </w:r>
          </w:p>
        </w:tc>
        <w:tc>
          <w:tcPr>
            <w:tcW w:type="dxa" w:w="2000"/>
            <w:tcBorders>
              <w:top w:val="single" w:color="DDDDDD" w:sz="1"/>
              <w:left w:val="single" w:color="DDDDDD" w:sz="1"/>
              <w:bottom w:val="single" w:color="DDDDDD" w:sz="1"/>
              <w:right w:val="single" w:color="DDDDDD" w:sz="1"/>
            </w:tcBorders>
            <w:shd w:fill="FFF9E6" w:val="clear"/>
            <w:tcMar>
              <w:top w:type="dxa" w:w="100"/>
              <w:left w:type="dxa" w:w="150"/>
              <w:bottom w:type="dxa" w:w="100"/>
              <w:right w:type="dxa" w:w="150"/>
            </w:tcMar>
          </w:tcPr>
          <w:p>
            <w:pPr>
              <w:jc w:val="center"/>
            </w:pPr>
            <w:r>
              <w:rPr>
                <w:rFonts w:ascii="Arial" w:cs="Arial" w:eastAsia="Arial" w:hAnsi="Arial"/>
                <w:b/>
                <w:bCs/>
                <w:color w:val="C07000"/>
                <w:sz w:val="19"/>
                <w:szCs w:val="19"/>
              </w:rPr>
              <w:t xml:space="preserve">DOCTRINE DEFINED</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New Tier 2 source; B2B onboarding required</w:t>
            </w:r>
          </w:p>
        </w:tc>
      </w:tr>
      <w:tr>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Gnosis / Data Rail</w:t>
            </w:r>
          </w:p>
        </w:tc>
        <w:tc>
          <w:tcPr>
            <w:tcW w:type="dxa" w:w="2000"/>
            <w:tcBorders>
              <w:top w:val="single" w:color="DDDDDD" w:sz="1"/>
              <w:left w:val="single" w:color="DDDDDD" w:sz="1"/>
              <w:bottom w:val="single" w:color="DDDDDD" w:sz="1"/>
              <w:right w:val="single" w:color="DDDDDD" w:sz="1"/>
            </w:tcBorders>
            <w:shd w:fill="FFF9E6" w:val="clear"/>
            <w:tcMar>
              <w:top w:type="dxa" w:w="100"/>
              <w:left w:type="dxa" w:w="150"/>
              <w:bottom w:type="dxa" w:w="100"/>
              <w:right w:type="dxa" w:w="150"/>
            </w:tcMar>
          </w:tcPr>
          <w:p>
            <w:pPr>
              <w:jc w:val="center"/>
            </w:pPr>
            <w:r>
              <w:rPr>
                <w:rFonts w:ascii="Arial" w:cs="Arial" w:eastAsia="Arial" w:hAnsi="Arial"/>
                <w:b/>
                <w:bCs/>
                <w:color w:val="4A5568"/>
                <w:sz w:val="19"/>
                <w:szCs w:val="19"/>
              </w:rPr>
              <w:t xml:space="preserve">DOCTRINE DEFINED (Phase 3+)</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A5568"/>
                <w:sz w:val="19"/>
                <w:szCs w:val="19"/>
              </w:rPr>
              <w:t xml:space="preserve">Unchanged</w:t>
            </w:r>
          </w:p>
        </w:tc>
      </w:tr>
    </w:tbl>
    <w:p>
      <w:pPr>
        <w:spacing w:after="80"/>
      </w:pPr>
    </w:p>
    <w:p>
      <w:pPr>
        <w:pBdr>
          <w:bottom w:val="single" w:color="C9A84C" w:sz="6"/>
        </w:pBdr>
        <w:spacing w:after="160" w:before="160"/>
      </w:pPr>
    </w:p>
    <w:p>
      <w:pPr>
        <w:pStyle w:val="Heading1"/>
        <w:spacing w:after="200" w:before="400"/>
      </w:pPr>
      <w:r>
        <w:rPr>
          <w:rFonts w:ascii="Arial" w:cs="Arial" w:eastAsia="Arial" w:hAnsi="Arial"/>
          <w:b/>
          <w:bCs/>
          <w:color w:val="0D1117"/>
          <w:sz w:val="36"/>
          <w:szCs w:val="36"/>
        </w:rPr>
        <w:t xml:space="preserve">7. Summary — What Changes, What Stays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DECEA" w:val="clear"/>
            <w:tcMar>
              <w:top w:type="dxa" w:w="160"/>
              <w:left w:type="dxa" w:w="200"/>
              <w:bottom w:type="dxa" w:w="160"/>
              <w:right w:type="dxa" w:w="200"/>
            </w:tcMar>
          </w:tcPr>
          <w:p>
            <w:pPr>
              <w:spacing w:after="100"/>
            </w:pPr>
            <w:r>
              <w:rPr>
                <w:rFonts w:ascii="Arial" w:cs="Arial" w:eastAsia="Arial" w:hAnsi="Arial"/>
                <w:b/>
                <w:bCs/>
                <w:color w:val="C0392B"/>
                <w:sz w:val="20"/>
                <w:szCs w:val="20"/>
              </w:rPr>
              <w:t xml:space="preserve">WHAT CHANGES (v2.3 → v2.4)</w:t>
            </w:r>
          </w:p>
          <w:p>
            <w:pPr>
              <w:spacing w:after="80"/>
            </w:pPr>
            <w:r>
              <w:rPr>
                <w:rFonts w:ascii="Arial" w:cs="Arial" w:eastAsia="Arial" w:hAnsi="Arial"/>
                <w:sz w:val="19"/>
                <w:szCs w:val="19"/>
              </w:rPr>
              <w:t xml:space="preserve">• Layer 1 renamed from 'The Funnel' to 'The Multi-Funnel + Genesis Sources'</w:t>
            </w:r>
          </w:p>
          <w:p>
            <w:pPr>
              <w:spacing w:after="80"/>
            </w:pPr>
            <w:r>
              <w:rPr>
                <w:rFonts w:ascii="Arial" w:cs="Arial" w:eastAsia="Arial" w:hAnsi="Arial"/>
                <w:sz w:val="19"/>
                <w:szCs w:val="19"/>
              </w:rPr>
              <w:t xml:space="preserve">• MonadSpin is repositioned from sole funnel to Tier 2 participant inflow</w:t>
            </w:r>
          </w:p>
          <w:p>
            <w:pPr>
              <w:spacing w:after="80"/>
            </w:pPr>
            <w:r>
              <w:rPr>
                <w:rFonts w:ascii="Arial" w:cs="Arial" w:eastAsia="Arial" w:hAnsi="Arial"/>
                <w:sz w:val="19"/>
                <w:szCs w:val="19"/>
              </w:rPr>
              <w:t xml:space="preserve">• Three new Tier 1 genesis revenue sources added (Key NFTs, Profile Minting, Pool Bonds)</w:t>
            </w:r>
          </w:p>
          <w:p>
            <w:pPr>
              <w:spacing w:after="80"/>
            </w:pPr>
            <w:r>
              <w:rPr>
                <w:rFonts w:ascii="Arial" w:cs="Arial" w:eastAsia="Arial" w:hAnsi="Arial"/>
                <w:sz w:val="19"/>
                <w:szCs w:val="19"/>
              </w:rPr>
              <w:t xml:space="preserve">• One new Tier 2 source added (Protocol Access Subscriptions)</w:t>
            </w:r>
          </w:p>
          <w:p>
            <w:pPr>
              <w:spacing w:after="80"/>
            </w:pPr>
            <w:r>
              <w:rPr>
                <w:rFonts w:ascii="Arial" w:cs="Arial" w:eastAsia="Arial" w:hAnsi="Arial"/>
                <w:sz w:val="19"/>
                <w:szCs w:val="19"/>
              </w:rPr>
              <w:t xml:space="preserve">• Bootstrap deadlock is resolved — Treasury seeds from Day 0</w:t>
            </w:r>
          </w:p>
          <w:p>
            <w:r>
              <w:rPr>
                <w:rFonts w:ascii="Arial" w:cs="Arial" w:eastAsia="Arial" w:hAnsi="Arial"/>
                <w:sz w:val="19"/>
                <w:szCs w:val="19"/>
              </w:rPr>
              <w:t xml:space="preserve">• Revenue Router diagram updated to show 7 inputs (was 4)</w:t>
            </w:r>
          </w:p>
        </w:tc>
        <w:tc>
          <w:tcPr>
            <w:tcW w:type="dxa" w:w="4680"/>
            <w:tcBorders>
              <w:top w:val="single" w:color="DDDDDD" w:sz="1"/>
              <w:left w:val="single" w:color="DDDDDD" w:sz="1"/>
              <w:bottom w:val="single" w:color="DDDDDD" w:sz="1"/>
              <w:right w:val="single" w:color="DDDDDD" w:sz="1"/>
            </w:tcBorders>
            <w:shd w:fill="EAFAF1" w:val="clear"/>
            <w:tcMar>
              <w:top w:type="dxa" w:w="160"/>
              <w:left w:type="dxa" w:w="200"/>
              <w:bottom w:type="dxa" w:w="160"/>
              <w:right w:type="dxa" w:w="200"/>
            </w:tcMar>
          </w:tcPr>
          <w:p>
            <w:pPr>
              <w:spacing w:after="100"/>
            </w:pPr>
            <w:r>
              <w:rPr>
                <w:rFonts w:ascii="Arial" w:cs="Arial" w:eastAsia="Arial" w:hAnsi="Arial"/>
                <w:b/>
                <w:bCs/>
                <w:color w:val="27AE60"/>
                <w:sz w:val="20"/>
                <w:szCs w:val="20"/>
              </w:rPr>
              <w:t xml:space="preserve">WHAT STAYS UNCHANGED</w:t>
            </w:r>
          </w:p>
          <w:p>
            <w:pPr>
              <w:spacing w:after="80"/>
            </w:pPr>
            <w:r>
              <w:rPr>
                <w:rFonts w:ascii="Arial" w:cs="Arial" w:eastAsia="Arial" w:hAnsi="Arial"/>
                <w:sz w:val="19"/>
                <w:szCs w:val="19"/>
              </w:rPr>
              <w:t xml:space="preserve">• All 11 Phase 1a contracts — locked and unchanged</w:t>
            </w:r>
          </w:p>
          <w:p>
            <w:pPr>
              <w:spacing w:after="80"/>
            </w:pPr>
            <w:r>
              <w:rPr>
                <w:rFonts w:ascii="Arial" w:cs="Arial" w:eastAsia="Arial" w:hAnsi="Arial"/>
                <w:sz w:val="19"/>
                <w:szCs w:val="19"/>
              </w:rPr>
              <w:t xml:space="preserve">• Downstream allocation percentages (40/25/15/10/5/5)</w:t>
            </w:r>
          </w:p>
          <w:p>
            <w:pPr>
              <w:spacing w:after="80"/>
            </w:pPr>
            <w:r>
              <w:rPr>
                <w:rFonts w:ascii="Arial" w:cs="Arial" w:eastAsia="Arial" w:hAnsi="Arial"/>
                <w:sz w:val="19"/>
                <w:szCs w:val="19"/>
              </w:rPr>
              <w:t xml:space="preserve">• Founder Sink hard cap at 5% — no override</w:t>
            </w:r>
          </w:p>
          <w:p>
            <w:pPr>
              <w:spacing w:after="80"/>
            </w:pPr>
            <w:r>
              <w:rPr>
                <w:rFonts w:ascii="Arial" w:cs="Arial" w:eastAsia="Arial" w:hAnsi="Arial"/>
                <w:sz w:val="19"/>
                <w:szCs w:val="19"/>
              </w:rPr>
              <w:t xml:space="preserve">• MEV Engine mechanics and the Treasury structure</w:t>
            </w:r>
          </w:p>
          <w:p>
            <w:pPr>
              <w:spacing w:after="80"/>
            </w:pPr>
            <w:r>
              <w:rPr>
                <w:rFonts w:ascii="Arial" w:cs="Arial" w:eastAsia="Arial" w:hAnsi="Arial"/>
                <w:sz w:val="19"/>
                <w:szCs w:val="19"/>
              </w:rPr>
              <w:t xml:space="preserve">• Layers 2–15 in their entirety</w:t>
            </w:r>
          </w:p>
          <w:p>
            <w:pPr>
              <w:spacing w:after="80"/>
            </w:pPr>
            <w:r>
              <w:rPr>
                <w:rFonts w:ascii="Arial" w:cs="Arial" w:eastAsia="Arial" w:hAnsi="Arial"/>
                <w:sz w:val="19"/>
                <w:szCs w:val="19"/>
              </w:rPr>
              <w:t xml:space="preserve">• The Dove Protocol, Gnosis Layer, and all moral architecture</w:t>
            </w:r>
          </w:p>
          <w:p>
            <w:r>
              <w:rPr>
                <w:rFonts w:ascii="Arial" w:cs="Arial" w:eastAsia="Arial" w:hAnsi="Arial"/>
                <w:sz w:val="19"/>
                <w:szCs w:val="19"/>
              </w:rPr>
              <w:t xml:space="preserve">• The Triple Master Loop (Signal, Capital, Integrity)</w:t>
            </w:r>
          </w:p>
        </w:tc>
      </w:tr>
    </w:tbl>
    <w:p>
      <w:pPr>
        <w:spacing w:after="80"/>
      </w:pPr>
    </w:p>
    <w:p>
      <w:pPr>
        <w:spacing w:after="80"/>
      </w:pPr>
    </w:p>
    <w:p>
      <w:pPr>
        <w:shd w:fill="0D1117" w:val="clear"/>
        <w:spacing w:after="0"/>
      </w:pPr>
      <w:r>
        <w:rPr>
          <w:rFonts w:ascii="Arial" w:cs="Arial" w:eastAsia="Arial" w:hAnsi="Arial"/>
          <w:color w:val="C9A84C"/>
          <w:sz w:val="18"/>
          <w:szCs w:val="18"/>
        </w:rPr>
        <w:t xml:space="preserve">  SOVEREIGN MONAD ECOSYSTEM  ·  MASTER OPERATING FILE AMENDMENT v2.4  ·  LAYER 1 REVENUE ARCHITECTURE REVISION  </w:t>
      </w:r>
    </w:p>
    <w:p>
      <w:pPr>
        <w:shd w:fill="1A2A3A" w:val="clear"/>
        <w:spacing w:after="0"/>
      </w:pPr>
      <w:r>
        <w:rPr>
          <w:rFonts w:ascii="Arial" w:cs="Arial" w:eastAsia="Arial" w:hAnsi="Arial"/>
          <w:color w:val="888888"/>
          <w:sz w:val="17"/>
          <w:szCs w:val="17"/>
        </w:rPr>
        <w:t xml:space="preserve">  This document amends MOF v2.3.0 Section: Inflow &amp; Capital (Layer 1) and the Unified Revenue Router.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80"/>
    </w:pPr>
    <w:r>
      <w:rPr>
        <w:rFonts w:ascii="Arial" w:cs="Arial" w:eastAsia="Arial" w:hAnsi="Arial"/>
        <w:color w:val="4A5568"/>
        <w:sz w:val="16"/>
        <w:szCs w:val="16"/>
      </w:rPr>
      <w:t xml:space="preserve">CONFIDENTIAL — MASTER OPERATING FILE</w:t>
    </w:r>
    <w:r>
      <w:rPr>
        <w:rFonts w:ascii="Arial" w:cs="Arial" w:eastAsia="Arial" w:hAnsi="Arial"/>
        <w:color w:val="CCCCCC"/>
        <w:sz w:val="16"/>
        <w:szCs w:val="16"/>
      </w:rPr>
      <w:t xml:space="preserve">   |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   DRAFT FOR REVISION INTO MOF v2.4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0"/>
    </w:pPr>
    <w:r>
      <w:rPr>
        <w:rFonts w:ascii="Arial" w:cs="Arial" w:eastAsia="Arial" w:hAnsi="Arial"/>
        <w:b/>
        <w:bCs/>
        <w:color w:val="4A5568"/>
        <w:sz w:val="18"/>
        <w:szCs w:val="18"/>
      </w:rPr>
      <w:t xml:space="preserve">SOVEREIGN MONAD ECOSYSTEM</w:t>
    </w:r>
    <w:r>
      <w:rPr>
        <w:rFonts w:ascii="Arial" w:cs="Arial" w:eastAsia="Arial" w:hAnsi="Arial"/>
        <w:color w:val="CCCCCC"/>
        <w:sz w:val="18"/>
        <w:szCs w:val="18"/>
      </w:rPr>
      <w:t xml:space="preserve">   |   </w:t>
    </w:r>
    <w:r>
      <w:rPr>
        <w:rFonts w:ascii="Arial" w:cs="Arial" w:eastAsia="Arial" w:hAnsi="Arial"/>
        <w:b/>
        <w:bCs/>
        <w:color w:val="C9A84C"/>
        <w:sz w:val="18"/>
        <w:szCs w:val="18"/>
      </w:rPr>
      <w:t xml:space="preserve">REVENUE ARCHITECTURE REVISION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11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D11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2026-04-04T18:44:25.450Z</dcterms:created>
  <dcterms:modified xsi:type="dcterms:W3CDTF">2026-04-04T18:44:25.451Z</dcterms:modified>
</cp:coreProperties>
</file>

<file path=docProps/custom.xml><?xml version="1.0" encoding="utf-8"?>
<Properties xmlns="http://schemas.openxmlformats.org/officeDocument/2006/custom-properties" xmlns:vt="http://schemas.openxmlformats.org/officeDocument/2006/docPropsVTypes"/>
</file>