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8DC3" w14:textId="27193B34" w:rsidR="00862D1C" w:rsidRDefault="00862D1C" w:rsidP="00BB568C">
      <w:pPr>
        <w:jc w:val="center"/>
        <w:rPr>
          <w:rFonts w:ascii="Times New Roman" w:hAnsi="Times New Roman" w:cs="Times New Roman"/>
          <w:b/>
          <w:bCs/>
          <w:sz w:val="50"/>
          <w:szCs w:val="50"/>
          <w:lang w:val="en-GB"/>
        </w:rPr>
      </w:pPr>
      <w:r w:rsidRPr="00862D1C">
        <w:rPr>
          <w:rFonts w:ascii="Times New Roman" w:hAnsi="Times New Roman" w:cs="Times New Roman"/>
          <w:b/>
          <w:bCs/>
          <w:sz w:val="50"/>
          <w:szCs w:val="50"/>
          <w:lang w:val="en-GB"/>
        </w:rPr>
        <w:t>TP 4: FactoShiny</w:t>
      </w:r>
    </w:p>
    <w:p w14:paraId="54C5F70E" w14:textId="77777777" w:rsidR="00BB568C" w:rsidRDefault="00BB568C" w:rsidP="00BB568C">
      <w:pPr>
        <w:jc w:val="center"/>
        <w:rPr>
          <w:rFonts w:ascii="Times New Roman" w:hAnsi="Times New Roman" w:cs="Times New Roman"/>
          <w:b/>
          <w:bCs/>
          <w:sz w:val="50"/>
          <w:szCs w:val="50"/>
          <w:lang w:val="en-GB"/>
        </w:rPr>
      </w:pPr>
    </w:p>
    <w:p w14:paraId="2C9FFD7D" w14:textId="7F20F870" w:rsidR="00862D1C" w:rsidRPr="004D05C0" w:rsidRDefault="004D05C0" w:rsidP="00BD7C16">
      <w:pPr>
        <w:jc w:val="both"/>
        <w:rPr>
          <w:rFonts w:ascii="Times New Roman" w:hAnsi="Times New Roman" w:cs="Times New Roman"/>
          <w:b/>
          <w:bCs/>
          <w:sz w:val="50"/>
          <w:szCs w:val="50"/>
          <w:lang w:val="en-GB"/>
        </w:rPr>
      </w:pPr>
      <w:r w:rsidRPr="00862D1C">
        <w:rPr>
          <w:noProof/>
          <w:lang w:val="en-GB"/>
        </w:rPr>
        <w:drawing>
          <wp:inline distT="0" distB="0" distL="0" distR="0" wp14:anchorId="019FB5B0" wp14:editId="6709D443">
            <wp:extent cx="4729018" cy="1705095"/>
            <wp:effectExtent l="0" t="0" r="0" b="9525"/>
            <wp:docPr id="75090300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03007" name="Image 1" descr="Une image contenant texte, capture d’écran, Police&#10;&#10;Le contenu généré par l’IA peut être incorrect."/>
                    <pic:cNvPicPr/>
                  </pic:nvPicPr>
                  <pic:blipFill>
                    <a:blip r:embed="rId7"/>
                    <a:stretch>
                      <a:fillRect/>
                    </a:stretch>
                  </pic:blipFill>
                  <pic:spPr>
                    <a:xfrm>
                      <a:off x="0" y="0"/>
                      <a:ext cx="4768465" cy="1719318"/>
                    </a:xfrm>
                    <a:prstGeom prst="rect">
                      <a:avLst/>
                    </a:prstGeom>
                  </pic:spPr>
                </pic:pic>
              </a:graphicData>
            </a:graphic>
          </wp:inline>
        </w:drawing>
      </w:r>
    </w:p>
    <w:p w14:paraId="12688A78" w14:textId="3DDB8CC0" w:rsidR="00862D1C" w:rsidRPr="004707DC" w:rsidRDefault="0084699A" w:rsidP="00BD7C16">
      <w:pPr>
        <w:jc w:val="both"/>
        <w:rPr>
          <w:rFonts w:ascii="Times New Roman" w:hAnsi="Times New Roman" w:cs="Times New Roman"/>
          <w:b/>
          <w:bCs/>
          <w:sz w:val="22"/>
          <w:szCs w:val="22"/>
        </w:rPr>
      </w:pPr>
      <w:r w:rsidRPr="004707DC">
        <w:rPr>
          <w:rFonts w:ascii="Times New Roman" w:hAnsi="Times New Roman" w:cs="Times New Roman"/>
          <w:b/>
          <w:bCs/>
          <w:sz w:val="22"/>
          <w:szCs w:val="22"/>
        </w:rPr>
        <w:t xml:space="preserve">3. (a) Changez la palette de couleur selon la contribution et gardez uniquement les 15 premières variables : </w:t>
      </w:r>
    </w:p>
    <w:p w14:paraId="7D5167C4" w14:textId="05C7208F" w:rsidR="0084699A" w:rsidRPr="004707DC" w:rsidRDefault="0084699A" w:rsidP="00BD7C16">
      <w:pPr>
        <w:jc w:val="both"/>
        <w:rPr>
          <w:rFonts w:ascii="Times New Roman" w:hAnsi="Times New Roman" w:cs="Times New Roman"/>
          <w:sz w:val="22"/>
          <w:szCs w:val="22"/>
        </w:rPr>
      </w:pPr>
      <w:r w:rsidRPr="004707DC">
        <w:rPr>
          <w:rFonts w:ascii="Times New Roman" w:hAnsi="Times New Roman" w:cs="Times New Roman"/>
          <w:sz w:val="22"/>
          <w:szCs w:val="22"/>
        </w:rPr>
        <w:t xml:space="preserve">- Pour cela on va dans options graphiques et « modifier la couleur selon contribution » </w:t>
      </w:r>
    </w:p>
    <w:p w14:paraId="15167A65" w14:textId="3CBF5907" w:rsidR="0081269D" w:rsidRPr="004707DC" w:rsidRDefault="0084699A" w:rsidP="00BD7C16">
      <w:pPr>
        <w:jc w:val="both"/>
        <w:rPr>
          <w:rFonts w:ascii="Times New Roman" w:hAnsi="Times New Roman" w:cs="Times New Roman"/>
          <w:sz w:val="22"/>
          <w:szCs w:val="22"/>
        </w:rPr>
      </w:pPr>
      <w:r w:rsidRPr="004707DC">
        <w:rPr>
          <w:rFonts w:ascii="Times New Roman" w:hAnsi="Times New Roman" w:cs="Times New Roman"/>
          <w:sz w:val="22"/>
          <w:szCs w:val="22"/>
        </w:rPr>
        <w:t>-</w:t>
      </w:r>
      <w:r w:rsidR="003F1452" w:rsidRPr="004707DC">
        <w:rPr>
          <w:rFonts w:ascii="Times New Roman" w:hAnsi="Times New Roman" w:cs="Times New Roman"/>
          <w:sz w:val="22"/>
          <w:szCs w:val="22"/>
        </w:rPr>
        <w:t>De même p</w:t>
      </w:r>
      <w:r w:rsidRPr="004707DC">
        <w:rPr>
          <w:rFonts w:ascii="Times New Roman" w:hAnsi="Times New Roman" w:cs="Times New Roman"/>
          <w:sz w:val="22"/>
          <w:szCs w:val="22"/>
        </w:rPr>
        <w:t>our sélectionner les 15 premières variables</w:t>
      </w:r>
      <w:r w:rsidR="0081269D" w:rsidRPr="004707DC">
        <w:rPr>
          <w:rFonts w:ascii="Times New Roman" w:hAnsi="Times New Roman" w:cs="Times New Roman"/>
          <w:sz w:val="22"/>
          <w:szCs w:val="22"/>
        </w:rPr>
        <w:t xml:space="preserve"> :  on sélectionne les 15 premières variables </w:t>
      </w:r>
      <w:r w:rsidR="003F1452" w:rsidRPr="004707DC">
        <w:rPr>
          <w:rFonts w:ascii="Times New Roman" w:hAnsi="Times New Roman" w:cs="Times New Roman"/>
          <w:sz w:val="22"/>
          <w:szCs w:val="22"/>
        </w:rPr>
        <w:t>sur FactoShiny les plus contributives</w:t>
      </w:r>
      <w:r w:rsidR="0081269D" w:rsidRPr="004707DC">
        <w:rPr>
          <w:rFonts w:ascii="Times New Roman" w:hAnsi="Times New Roman" w:cs="Times New Roman"/>
          <w:sz w:val="22"/>
          <w:szCs w:val="22"/>
        </w:rPr>
        <w:t> </w:t>
      </w:r>
    </w:p>
    <w:p w14:paraId="0AFB514B" w14:textId="17124F11" w:rsidR="0081269D" w:rsidRPr="004707DC" w:rsidRDefault="0081269D" w:rsidP="00BD7C16">
      <w:pPr>
        <w:jc w:val="both"/>
        <w:rPr>
          <w:rFonts w:ascii="Times New Roman" w:hAnsi="Times New Roman" w:cs="Times New Roman"/>
          <w:b/>
          <w:bCs/>
          <w:sz w:val="22"/>
          <w:szCs w:val="22"/>
        </w:rPr>
      </w:pPr>
      <w:r w:rsidRPr="004707DC">
        <w:rPr>
          <w:rFonts w:ascii="Times New Roman" w:hAnsi="Times New Roman" w:cs="Times New Roman"/>
          <w:b/>
          <w:bCs/>
          <w:sz w:val="22"/>
          <w:szCs w:val="22"/>
        </w:rPr>
        <w:t xml:space="preserve">(b) Identifiez les valeurs négativement et </w:t>
      </w:r>
      <w:r w:rsidR="003F1452" w:rsidRPr="004707DC">
        <w:rPr>
          <w:rFonts w:ascii="Times New Roman" w:hAnsi="Times New Roman" w:cs="Times New Roman"/>
          <w:b/>
          <w:bCs/>
          <w:sz w:val="22"/>
          <w:szCs w:val="22"/>
        </w:rPr>
        <w:t>positivement</w:t>
      </w:r>
      <w:r w:rsidRPr="004707DC">
        <w:rPr>
          <w:rFonts w:ascii="Times New Roman" w:hAnsi="Times New Roman" w:cs="Times New Roman"/>
          <w:b/>
          <w:bCs/>
          <w:sz w:val="22"/>
          <w:szCs w:val="22"/>
        </w:rPr>
        <w:t xml:space="preserve"> corrélées : </w:t>
      </w:r>
    </w:p>
    <w:p w14:paraId="1BAEF65C" w14:textId="3BF3D17B" w:rsidR="003F1452" w:rsidRDefault="00616820" w:rsidP="00BD7C16">
      <w:pPr>
        <w:jc w:val="both"/>
      </w:pPr>
      <w:r>
        <w:rPr>
          <w:noProof/>
        </w:rPr>
        <w:drawing>
          <wp:inline distT="0" distB="0" distL="0" distR="0" wp14:anchorId="59993072" wp14:editId="3E50E4CE">
            <wp:extent cx="3632661" cy="3446531"/>
            <wp:effectExtent l="0" t="0" r="6350" b="1905"/>
            <wp:docPr id="1783655374" name="Image 1"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 object"/>
                    <pic:cNvPicPr>
                      <a:picLocks noChangeAspect="1" noChangeArrowheads="1"/>
                    </pic:cNvPicPr>
                  </pic:nvPicPr>
                  <pic:blipFill rotWithShape="1">
                    <a:blip r:embed="rId8">
                      <a:extLst>
                        <a:ext uri="{28A0092B-C50C-407E-A947-70E740481C1C}">
                          <a14:useLocalDpi xmlns:a14="http://schemas.microsoft.com/office/drawing/2010/main" val="0"/>
                        </a:ext>
                      </a:extLst>
                    </a:blip>
                    <a:srcRect t="7854" b="7325"/>
                    <a:stretch>
                      <a:fillRect/>
                    </a:stretch>
                  </pic:blipFill>
                  <pic:spPr bwMode="auto">
                    <a:xfrm>
                      <a:off x="0" y="0"/>
                      <a:ext cx="3643031" cy="3456370"/>
                    </a:xfrm>
                    <a:prstGeom prst="rect">
                      <a:avLst/>
                    </a:prstGeom>
                    <a:noFill/>
                    <a:ln>
                      <a:noFill/>
                    </a:ln>
                    <a:extLst>
                      <a:ext uri="{53640926-AAD7-44D8-BBD7-CCE9431645EC}">
                        <a14:shadowObscured xmlns:a14="http://schemas.microsoft.com/office/drawing/2010/main"/>
                      </a:ext>
                    </a:extLst>
                  </pic:spPr>
                </pic:pic>
              </a:graphicData>
            </a:graphic>
          </wp:inline>
        </w:drawing>
      </w:r>
    </w:p>
    <w:p w14:paraId="4C71FE73" w14:textId="6E687D6E" w:rsidR="00AB186E" w:rsidRDefault="00AB186E" w:rsidP="00BD7C16">
      <w:pPr>
        <w:jc w:val="both"/>
        <w:rPr>
          <w:rFonts w:ascii="Times New Roman" w:hAnsi="Times New Roman" w:cs="Times New Roman"/>
          <w:sz w:val="22"/>
          <w:szCs w:val="22"/>
        </w:rPr>
      </w:pPr>
      <w:r w:rsidRPr="00AB186E">
        <w:rPr>
          <w:rFonts w:ascii="Times New Roman" w:hAnsi="Times New Roman" w:cs="Times New Roman"/>
          <w:sz w:val="22"/>
          <w:szCs w:val="22"/>
        </w:rPr>
        <w:lastRenderedPageBreak/>
        <w:t>Le cercle des corrélations montre deux groupes opposés de variables.</w:t>
      </w:r>
      <w:r w:rsidRPr="00AB186E">
        <w:rPr>
          <w:rFonts w:ascii="Times New Roman" w:hAnsi="Times New Roman" w:cs="Times New Roman"/>
          <w:sz w:val="22"/>
          <w:szCs w:val="22"/>
        </w:rPr>
        <w:br/>
        <w:t>À droite, on trouve les variables positives liées à une bonne santé : espérance de vie, scolarisation, PIB par habitant, indice de masse corporelle et couverture vaccinale (Hepatitis_B, Diphtheria, Polio, Measles). Ces variables sont positivement corrélées entre elles.</w:t>
      </w:r>
      <w:r w:rsidRPr="00AB186E">
        <w:rPr>
          <w:rFonts w:ascii="Times New Roman" w:hAnsi="Times New Roman" w:cs="Times New Roman"/>
          <w:sz w:val="22"/>
          <w:szCs w:val="22"/>
        </w:rPr>
        <w:br/>
        <w:t>À gauche, on identifie un second groupe comprenant les indicateurs de mortalité infantile/adulte (Infant_deaths, Under_five_deaths, Adult_mortality), la maigreur (Thinness_five_nine_years, Thinness_ten_nineteen_year) et le statut économique faible. Ces variables sont aussi positivement corrélées entre elles.</w:t>
      </w:r>
      <w:r w:rsidRPr="00AB186E">
        <w:rPr>
          <w:rFonts w:ascii="Times New Roman" w:hAnsi="Times New Roman" w:cs="Times New Roman"/>
          <w:sz w:val="22"/>
          <w:szCs w:val="22"/>
        </w:rPr>
        <w:br/>
        <w:t>Les deux groupes sont en forte opposition, montrant une corrélation négative très marquée. Par exemple, les pays avec une espérance de vie élevée ont une faible mortalité infantile et adulte</w:t>
      </w:r>
      <w:r w:rsidR="006C27AB">
        <w:rPr>
          <w:rFonts w:ascii="Times New Roman" w:hAnsi="Times New Roman" w:cs="Times New Roman"/>
          <w:sz w:val="22"/>
          <w:szCs w:val="22"/>
        </w:rPr>
        <w:t>.</w:t>
      </w:r>
    </w:p>
    <w:p w14:paraId="2C0907F2" w14:textId="5BAB0F2C" w:rsidR="004707DC" w:rsidRDefault="004707DC" w:rsidP="00BD7C16">
      <w:pPr>
        <w:jc w:val="both"/>
        <w:rPr>
          <w:rFonts w:ascii="Times New Roman" w:hAnsi="Times New Roman" w:cs="Times New Roman"/>
          <w:b/>
          <w:bCs/>
          <w:sz w:val="22"/>
          <w:szCs w:val="22"/>
        </w:rPr>
      </w:pPr>
      <w:r w:rsidRPr="004707DC">
        <w:rPr>
          <w:rFonts w:ascii="Times New Roman" w:hAnsi="Times New Roman" w:cs="Times New Roman"/>
          <w:b/>
          <w:bCs/>
          <w:sz w:val="22"/>
          <w:szCs w:val="22"/>
        </w:rPr>
        <w:t>3.c Repérez les variables qui contribuent le plus à l</w:t>
      </w:r>
      <w:r>
        <w:rPr>
          <w:rFonts w:ascii="Times New Roman" w:hAnsi="Times New Roman" w:cs="Times New Roman"/>
          <w:b/>
          <w:bCs/>
          <w:sz w:val="22"/>
          <w:szCs w:val="22"/>
        </w:rPr>
        <w:t xml:space="preserve">a formation de l’axe 1 : </w:t>
      </w:r>
    </w:p>
    <w:p w14:paraId="1941EE46" w14:textId="134216CC" w:rsidR="00A559D3" w:rsidRDefault="00A559D3" w:rsidP="00BD7C16">
      <w:pPr>
        <w:jc w:val="both"/>
        <w:rPr>
          <w:rFonts w:ascii="Times New Roman" w:hAnsi="Times New Roman" w:cs="Times New Roman"/>
          <w:sz w:val="22"/>
          <w:szCs w:val="22"/>
        </w:rPr>
      </w:pPr>
      <w:r w:rsidRPr="00A559D3">
        <w:rPr>
          <w:rFonts w:ascii="Times New Roman" w:hAnsi="Times New Roman" w:cs="Times New Roman"/>
          <w:sz w:val="22"/>
          <w:szCs w:val="22"/>
        </w:rPr>
        <w:t xml:space="preserve">Les variables qui contribuent le plus au premier axe sont principalement </w:t>
      </w:r>
      <w:r>
        <w:rPr>
          <w:rFonts w:ascii="Times New Roman" w:hAnsi="Times New Roman" w:cs="Times New Roman"/>
          <w:sz w:val="22"/>
          <w:szCs w:val="22"/>
        </w:rPr>
        <w:t>‘</w:t>
      </w:r>
      <w:r w:rsidRPr="00A559D3">
        <w:rPr>
          <w:rFonts w:ascii="Times New Roman" w:hAnsi="Times New Roman" w:cs="Times New Roman"/>
          <w:sz w:val="22"/>
          <w:szCs w:val="22"/>
        </w:rPr>
        <w:t>Life_expectancy</w:t>
      </w:r>
      <w:r>
        <w:rPr>
          <w:rFonts w:ascii="Times New Roman" w:hAnsi="Times New Roman" w:cs="Times New Roman"/>
          <w:sz w:val="22"/>
          <w:szCs w:val="22"/>
        </w:rPr>
        <w:t>’</w:t>
      </w:r>
      <w:r w:rsidRPr="00A559D3">
        <w:rPr>
          <w:rFonts w:ascii="Times New Roman" w:hAnsi="Times New Roman" w:cs="Times New Roman"/>
          <w:sz w:val="22"/>
          <w:szCs w:val="22"/>
        </w:rPr>
        <w:t xml:space="preserve"> et </w:t>
      </w:r>
      <w:r>
        <w:rPr>
          <w:rFonts w:ascii="Times New Roman" w:hAnsi="Times New Roman" w:cs="Times New Roman"/>
          <w:sz w:val="22"/>
          <w:szCs w:val="22"/>
        </w:rPr>
        <w:t>‘</w:t>
      </w:r>
      <w:r w:rsidRPr="00A559D3">
        <w:rPr>
          <w:rFonts w:ascii="Times New Roman" w:hAnsi="Times New Roman" w:cs="Times New Roman"/>
          <w:sz w:val="22"/>
          <w:szCs w:val="22"/>
        </w:rPr>
        <w:t>Schooling</w:t>
      </w:r>
      <w:r>
        <w:rPr>
          <w:rFonts w:ascii="Times New Roman" w:hAnsi="Times New Roman" w:cs="Times New Roman"/>
          <w:sz w:val="22"/>
          <w:szCs w:val="22"/>
        </w:rPr>
        <w:t>’</w:t>
      </w:r>
      <w:r w:rsidRPr="00A559D3">
        <w:rPr>
          <w:rFonts w:ascii="Times New Roman" w:hAnsi="Times New Roman" w:cs="Times New Roman"/>
          <w:sz w:val="22"/>
          <w:szCs w:val="22"/>
        </w:rPr>
        <w:t xml:space="preserve">, toutes deux avec une coloration rouge foncé indiquant leur poids prépondérant dans le calcul de l’axe. </w:t>
      </w:r>
      <w:r>
        <w:rPr>
          <w:rFonts w:ascii="Times New Roman" w:hAnsi="Times New Roman" w:cs="Times New Roman"/>
          <w:sz w:val="22"/>
          <w:szCs w:val="22"/>
        </w:rPr>
        <w:t>‘</w:t>
      </w:r>
      <w:r w:rsidRPr="00A559D3">
        <w:rPr>
          <w:rFonts w:ascii="Times New Roman" w:hAnsi="Times New Roman" w:cs="Times New Roman"/>
          <w:sz w:val="22"/>
          <w:szCs w:val="22"/>
        </w:rPr>
        <w:t>Life_expectancy</w:t>
      </w:r>
      <w:r>
        <w:rPr>
          <w:rFonts w:ascii="Times New Roman" w:hAnsi="Times New Roman" w:cs="Times New Roman"/>
          <w:sz w:val="22"/>
          <w:szCs w:val="22"/>
        </w:rPr>
        <w:t>’</w:t>
      </w:r>
      <w:r w:rsidRPr="00A559D3">
        <w:rPr>
          <w:rFonts w:ascii="Times New Roman" w:hAnsi="Times New Roman" w:cs="Times New Roman"/>
          <w:sz w:val="22"/>
          <w:szCs w:val="22"/>
        </w:rPr>
        <w:t xml:space="preserve"> reflète directement les conditions sanitaires et économiques générales, tandis que </w:t>
      </w:r>
      <w:r>
        <w:rPr>
          <w:rFonts w:ascii="Times New Roman" w:hAnsi="Times New Roman" w:cs="Times New Roman"/>
          <w:sz w:val="22"/>
          <w:szCs w:val="22"/>
        </w:rPr>
        <w:t>‘</w:t>
      </w:r>
      <w:r w:rsidRPr="00A559D3">
        <w:rPr>
          <w:rFonts w:ascii="Times New Roman" w:hAnsi="Times New Roman" w:cs="Times New Roman"/>
          <w:sz w:val="22"/>
          <w:szCs w:val="22"/>
        </w:rPr>
        <w:t>Schooling</w:t>
      </w:r>
      <w:r>
        <w:rPr>
          <w:rFonts w:ascii="Times New Roman" w:hAnsi="Times New Roman" w:cs="Times New Roman"/>
          <w:sz w:val="22"/>
          <w:szCs w:val="22"/>
        </w:rPr>
        <w:t>’</w:t>
      </w:r>
      <w:r w:rsidRPr="00A559D3">
        <w:rPr>
          <w:rFonts w:ascii="Times New Roman" w:hAnsi="Times New Roman" w:cs="Times New Roman"/>
          <w:sz w:val="22"/>
          <w:szCs w:val="22"/>
        </w:rPr>
        <w:t xml:space="preserve"> traduit l’importance de l’éducation dans le développement humain.</w:t>
      </w:r>
      <w:r w:rsidRPr="00A559D3">
        <w:rPr>
          <w:rFonts w:ascii="Times New Roman" w:hAnsi="Times New Roman" w:cs="Times New Roman"/>
          <w:sz w:val="22"/>
          <w:szCs w:val="22"/>
        </w:rPr>
        <w:br/>
        <w:t xml:space="preserve">Du côté opposé, </w:t>
      </w:r>
      <w:r>
        <w:rPr>
          <w:rFonts w:ascii="Times New Roman" w:hAnsi="Times New Roman" w:cs="Times New Roman"/>
          <w:sz w:val="22"/>
          <w:szCs w:val="22"/>
        </w:rPr>
        <w:t>‘</w:t>
      </w:r>
      <w:r w:rsidRPr="00A559D3">
        <w:rPr>
          <w:rFonts w:ascii="Times New Roman" w:hAnsi="Times New Roman" w:cs="Times New Roman"/>
          <w:sz w:val="22"/>
          <w:szCs w:val="22"/>
        </w:rPr>
        <w:t>Adult_mortality</w:t>
      </w:r>
      <w:r>
        <w:rPr>
          <w:rFonts w:ascii="Times New Roman" w:hAnsi="Times New Roman" w:cs="Times New Roman"/>
          <w:sz w:val="22"/>
          <w:szCs w:val="22"/>
        </w:rPr>
        <w:t>’</w:t>
      </w:r>
      <w:r w:rsidRPr="00A559D3">
        <w:rPr>
          <w:rFonts w:ascii="Times New Roman" w:hAnsi="Times New Roman" w:cs="Times New Roman"/>
          <w:sz w:val="22"/>
          <w:szCs w:val="22"/>
        </w:rPr>
        <w:t xml:space="preserve"> et les indicateurs de mortalité et de maigreur infantile sont également très contributifs. Enfin, les variables liées à la vaccination et au </w:t>
      </w:r>
      <w:r>
        <w:rPr>
          <w:rFonts w:ascii="Times New Roman" w:hAnsi="Times New Roman" w:cs="Times New Roman"/>
          <w:sz w:val="22"/>
          <w:szCs w:val="22"/>
        </w:rPr>
        <w:t>‘</w:t>
      </w:r>
      <w:r w:rsidRPr="00A559D3">
        <w:rPr>
          <w:rFonts w:ascii="Times New Roman" w:hAnsi="Times New Roman" w:cs="Times New Roman"/>
          <w:sz w:val="22"/>
          <w:szCs w:val="22"/>
        </w:rPr>
        <w:t>GDP_per_capita</w:t>
      </w:r>
      <w:r>
        <w:rPr>
          <w:rFonts w:ascii="Times New Roman" w:hAnsi="Times New Roman" w:cs="Times New Roman"/>
          <w:sz w:val="22"/>
          <w:szCs w:val="22"/>
        </w:rPr>
        <w:t xml:space="preserve">’ </w:t>
      </w:r>
      <w:r w:rsidRPr="00A559D3">
        <w:rPr>
          <w:rFonts w:ascii="Times New Roman" w:hAnsi="Times New Roman" w:cs="Times New Roman"/>
          <w:sz w:val="22"/>
          <w:szCs w:val="22"/>
        </w:rPr>
        <w:t>renforcent</w:t>
      </w:r>
      <w:r>
        <w:rPr>
          <w:rFonts w:ascii="Times New Roman" w:hAnsi="Times New Roman" w:cs="Times New Roman"/>
          <w:sz w:val="22"/>
          <w:szCs w:val="22"/>
        </w:rPr>
        <w:t xml:space="preserve"> </w:t>
      </w:r>
      <w:r w:rsidRPr="00A559D3">
        <w:rPr>
          <w:rFonts w:ascii="Times New Roman" w:hAnsi="Times New Roman" w:cs="Times New Roman"/>
          <w:sz w:val="22"/>
          <w:szCs w:val="22"/>
        </w:rPr>
        <w:t>la structure dmodèle.</w:t>
      </w:r>
      <w:r w:rsidRPr="00A559D3">
        <w:rPr>
          <w:rFonts w:ascii="Times New Roman" w:hAnsi="Times New Roman" w:cs="Times New Roman"/>
          <w:sz w:val="22"/>
          <w:szCs w:val="22"/>
        </w:rPr>
        <w:br/>
        <w:t>En résumé, l’axe principal de l’ACP synthétise les écarts entre pays sur les trois piliers majeurs du développement : santé, éducation, et niveau de vie.</w:t>
      </w:r>
    </w:p>
    <w:p w14:paraId="585E296C" w14:textId="3129522A" w:rsidR="004707DC" w:rsidRPr="00AB186E" w:rsidRDefault="0034493D" w:rsidP="00BD7C16">
      <w:pPr>
        <w:jc w:val="both"/>
        <w:rPr>
          <w:rFonts w:ascii="Times New Roman" w:hAnsi="Times New Roman" w:cs="Times New Roman"/>
          <w:b/>
          <w:bCs/>
          <w:sz w:val="22"/>
          <w:szCs w:val="22"/>
        </w:rPr>
      </w:pPr>
      <w:r w:rsidRPr="00AB186E">
        <w:rPr>
          <w:rFonts w:ascii="Times New Roman" w:hAnsi="Times New Roman" w:cs="Times New Roman"/>
          <w:b/>
          <w:bCs/>
          <w:sz w:val="22"/>
          <w:szCs w:val="22"/>
        </w:rPr>
        <w:t xml:space="preserve">3.d </w:t>
      </w:r>
      <w:r w:rsidR="00B04A96" w:rsidRPr="00AB186E">
        <w:rPr>
          <w:rFonts w:ascii="Times New Roman" w:hAnsi="Times New Roman" w:cs="Times New Roman"/>
          <w:b/>
          <w:bCs/>
          <w:sz w:val="22"/>
          <w:szCs w:val="22"/>
        </w:rPr>
        <w:t xml:space="preserve">que semble représenter le premier axe </w:t>
      </w:r>
    </w:p>
    <w:p w14:paraId="52F091D3" w14:textId="65E262F6" w:rsidR="0034493D" w:rsidRPr="00B04A96" w:rsidRDefault="0034493D" w:rsidP="00BD7C16">
      <w:pPr>
        <w:jc w:val="both"/>
        <w:rPr>
          <w:rFonts w:ascii="Times New Roman" w:hAnsi="Times New Roman" w:cs="Times New Roman"/>
          <w:sz w:val="22"/>
          <w:szCs w:val="22"/>
        </w:rPr>
      </w:pPr>
      <w:r w:rsidRPr="00B04A96">
        <w:rPr>
          <w:rFonts w:ascii="Times New Roman" w:hAnsi="Times New Roman" w:cs="Times New Roman"/>
          <w:sz w:val="22"/>
          <w:szCs w:val="22"/>
        </w:rPr>
        <w:t>Le premier axe (48,59% de variance) oppose les pays développés aux pays en développement.</w:t>
      </w:r>
    </w:p>
    <w:p w14:paraId="5C0F5A6C" w14:textId="5AE9685A" w:rsidR="00A559D3" w:rsidRDefault="0034493D" w:rsidP="00BD7C16">
      <w:pPr>
        <w:jc w:val="both"/>
        <w:rPr>
          <w:rFonts w:ascii="Times New Roman" w:hAnsi="Times New Roman" w:cs="Times New Roman"/>
          <w:sz w:val="22"/>
          <w:szCs w:val="22"/>
        </w:rPr>
      </w:pPr>
      <w:r w:rsidRPr="00B04A96">
        <w:rPr>
          <w:rFonts w:ascii="Times New Roman" w:hAnsi="Times New Roman" w:cs="Times New Roman"/>
          <w:sz w:val="22"/>
          <w:szCs w:val="22"/>
        </w:rPr>
        <w:t>Du côté</w:t>
      </w:r>
      <w:r w:rsidR="0079507B">
        <w:rPr>
          <w:rFonts w:ascii="Times New Roman" w:hAnsi="Times New Roman" w:cs="Times New Roman"/>
          <w:sz w:val="22"/>
          <w:szCs w:val="22"/>
        </w:rPr>
        <w:t xml:space="preserve"> </w:t>
      </w:r>
      <w:r w:rsidRPr="00B04A96">
        <w:rPr>
          <w:rFonts w:ascii="Times New Roman" w:hAnsi="Times New Roman" w:cs="Times New Roman"/>
          <w:sz w:val="22"/>
          <w:szCs w:val="22"/>
        </w:rPr>
        <w:t>droite, se trouvent les pays développés caractérisés par une espérance de vie élevée, un système éducatif performant (Schooling), une richesse économique importante (GDP_per_</w:t>
      </w:r>
      <w:r w:rsidR="00A559D3" w:rsidRPr="00B04A96">
        <w:rPr>
          <w:rFonts w:ascii="Times New Roman" w:hAnsi="Times New Roman" w:cs="Times New Roman"/>
          <w:sz w:val="22"/>
          <w:szCs w:val="22"/>
        </w:rPr>
        <w:t>capita)</w:t>
      </w:r>
      <w:r w:rsidR="00A559D3">
        <w:rPr>
          <w:rFonts w:ascii="Times New Roman" w:hAnsi="Times New Roman" w:cs="Times New Roman"/>
          <w:sz w:val="22"/>
          <w:szCs w:val="22"/>
        </w:rPr>
        <w:t xml:space="preserve"> …</w:t>
      </w:r>
    </w:p>
    <w:p w14:paraId="142F67B1" w14:textId="3C0662F6" w:rsidR="0034493D" w:rsidRPr="00B04A96" w:rsidRDefault="0034493D" w:rsidP="00BD7C16">
      <w:pPr>
        <w:jc w:val="both"/>
        <w:rPr>
          <w:rFonts w:ascii="Times New Roman" w:hAnsi="Times New Roman" w:cs="Times New Roman"/>
          <w:sz w:val="22"/>
          <w:szCs w:val="22"/>
        </w:rPr>
      </w:pPr>
      <w:r w:rsidRPr="00B04A96">
        <w:rPr>
          <w:rFonts w:ascii="Times New Roman" w:hAnsi="Times New Roman" w:cs="Times New Roman"/>
          <w:sz w:val="22"/>
          <w:szCs w:val="22"/>
        </w:rPr>
        <w:t>Du côté gauche, se situent les pays en développement confrontés à des taux élevés de mortalité infantile et adulte. La malnutrition infantile (Thinness), l'incidence du VI</w:t>
      </w:r>
      <w:r w:rsidR="00B04A96">
        <w:rPr>
          <w:rFonts w:ascii="Times New Roman" w:hAnsi="Times New Roman" w:cs="Times New Roman"/>
          <w:sz w:val="22"/>
          <w:szCs w:val="22"/>
        </w:rPr>
        <w:t>H..</w:t>
      </w:r>
      <w:r w:rsidRPr="00B04A96">
        <w:rPr>
          <w:rFonts w:ascii="Times New Roman" w:hAnsi="Times New Roman" w:cs="Times New Roman"/>
          <w:sz w:val="22"/>
          <w:szCs w:val="22"/>
        </w:rPr>
        <w:t xml:space="preserve">. </w:t>
      </w:r>
    </w:p>
    <w:p w14:paraId="4E6EA484" w14:textId="691AA5E5" w:rsidR="0034493D" w:rsidRPr="00B04A96" w:rsidRDefault="0034493D" w:rsidP="00BD7C16">
      <w:pPr>
        <w:jc w:val="both"/>
        <w:rPr>
          <w:rFonts w:ascii="Times New Roman" w:hAnsi="Times New Roman" w:cs="Times New Roman"/>
          <w:sz w:val="22"/>
          <w:szCs w:val="22"/>
        </w:rPr>
      </w:pPr>
      <w:r w:rsidRPr="00B04A96">
        <w:rPr>
          <w:rFonts w:ascii="Times New Roman" w:hAnsi="Times New Roman" w:cs="Times New Roman"/>
          <w:sz w:val="22"/>
          <w:szCs w:val="22"/>
        </w:rPr>
        <w:t>L'axe 1 synthétise donc les inégalités mondiales en matière de santé, d'éducation et de développement économique, représentant un continuum de développement humain global.</w:t>
      </w:r>
    </w:p>
    <w:p w14:paraId="6FDB4786" w14:textId="13455534" w:rsidR="0034493D" w:rsidRPr="00AB186E" w:rsidRDefault="0034493D" w:rsidP="00BD7C16">
      <w:pPr>
        <w:jc w:val="both"/>
        <w:rPr>
          <w:rFonts w:ascii="Times New Roman" w:hAnsi="Times New Roman" w:cs="Times New Roman"/>
          <w:b/>
          <w:bCs/>
          <w:sz w:val="22"/>
          <w:szCs w:val="22"/>
        </w:rPr>
      </w:pPr>
      <w:r w:rsidRPr="00AB186E">
        <w:rPr>
          <w:rFonts w:ascii="Times New Roman" w:hAnsi="Times New Roman" w:cs="Times New Roman"/>
          <w:b/>
          <w:bCs/>
          <w:sz w:val="22"/>
          <w:szCs w:val="22"/>
        </w:rPr>
        <w:t xml:space="preserve">3.e </w:t>
      </w:r>
      <w:r w:rsidR="00B04A96" w:rsidRPr="00AB186E">
        <w:rPr>
          <w:rFonts w:ascii="Times New Roman" w:hAnsi="Times New Roman" w:cs="Times New Roman"/>
          <w:b/>
          <w:bCs/>
          <w:sz w:val="22"/>
          <w:szCs w:val="22"/>
        </w:rPr>
        <w:t xml:space="preserve">que semble représenter le deuxième axe </w:t>
      </w:r>
    </w:p>
    <w:p w14:paraId="3338BA64" w14:textId="22136A8D" w:rsidR="0034493D" w:rsidRPr="0034493D" w:rsidRDefault="0034493D" w:rsidP="00BD7C16">
      <w:pPr>
        <w:jc w:val="both"/>
        <w:rPr>
          <w:rFonts w:ascii="Times New Roman" w:hAnsi="Times New Roman" w:cs="Times New Roman"/>
          <w:sz w:val="22"/>
          <w:szCs w:val="22"/>
        </w:rPr>
      </w:pPr>
      <w:r w:rsidRPr="0034493D">
        <w:rPr>
          <w:rFonts w:ascii="Times New Roman" w:hAnsi="Times New Roman" w:cs="Times New Roman"/>
          <w:sz w:val="22"/>
          <w:szCs w:val="22"/>
        </w:rPr>
        <w:t>Le deuxième axe (10,90% de variance) capture des spécificités démographiques et nutritionnelles</w:t>
      </w:r>
      <w:r w:rsidR="00B04A96">
        <w:rPr>
          <w:rFonts w:ascii="Times New Roman" w:hAnsi="Times New Roman" w:cs="Times New Roman"/>
          <w:sz w:val="22"/>
          <w:szCs w:val="22"/>
        </w:rPr>
        <w:t xml:space="preserve"> : </w:t>
      </w:r>
      <w:r w:rsidR="004D05C0">
        <w:rPr>
          <w:rFonts w:ascii="Times New Roman" w:hAnsi="Times New Roman" w:cs="Times New Roman"/>
          <w:sz w:val="22"/>
          <w:szCs w:val="22"/>
        </w:rPr>
        <w:t>d</w:t>
      </w:r>
      <w:r w:rsidRPr="0034493D">
        <w:rPr>
          <w:rFonts w:ascii="Times New Roman" w:hAnsi="Times New Roman" w:cs="Times New Roman"/>
          <w:sz w:val="22"/>
          <w:szCs w:val="22"/>
        </w:rPr>
        <w:t xml:space="preserve">u côté positif (haut), se concentrent les indicateurs de maigreur infantile associés à Population_mln et Economic_status. Cela </w:t>
      </w:r>
      <w:r w:rsidR="00B04A96">
        <w:rPr>
          <w:rFonts w:ascii="Times New Roman" w:hAnsi="Times New Roman" w:cs="Times New Roman"/>
          <w:sz w:val="22"/>
          <w:szCs w:val="22"/>
        </w:rPr>
        <w:t>montre</w:t>
      </w:r>
      <w:r w:rsidRPr="0034493D">
        <w:rPr>
          <w:rFonts w:ascii="Times New Roman" w:hAnsi="Times New Roman" w:cs="Times New Roman"/>
          <w:sz w:val="22"/>
          <w:szCs w:val="22"/>
        </w:rPr>
        <w:t xml:space="preserve"> que cet axe distingue les pays à forte population confrontés à des défis malgré un</w:t>
      </w:r>
      <w:r w:rsidR="0079507B">
        <w:rPr>
          <w:rFonts w:ascii="Times New Roman" w:hAnsi="Times New Roman" w:cs="Times New Roman"/>
          <w:sz w:val="22"/>
          <w:szCs w:val="22"/>
        </w:rPr>
        <w:t xml:space="preserve"> bon</w:t>
      </w:r>
      <w:r w:rsidRPr="0034493D">
        <w:rPr>
          <w:rFonts w:ascii="Times New Roman" w:hAnsi="Times New Roman" w:cs="Times New Roman"/>
          <w:sz w:val="22"/>
          <w:szCs w:val="22"/>
        </w:rPr>
        <w:t xml:space="preserve"> développement économique</w:t>
      </w:r>
      <w:r w:rsidR="0079507B">
        <w:rPr>
          <w:rFonts w:ascii="Times New Roman" w:hAnsi="Times New Roman" w:cs="Times New Roman"/>
          <w:sz w:val="22"/>
          <w:szCs w:val="22"/>
        </w:rPr>
        <w:t>.</w:t>
      </w:r>
    </w:p>
    <w:p w14:paraId="22534D32" w14:textId="77777777" w:rsidR="0034493D" w:rsidRDefault="0034493D" w:rsidP="00BD7C16">
      <w:pPr>
        <w:jc w:val="both"/>
        <w:rPr>
          <w:rFonts w:ascii="Times New Roman" w:hAnsi="Times New Roman" w:cs="Times New Roman"/>
          <w:sz w:val="22"/>
          <w:szCs w:val="22"/>
        </w:rPr>
      </w:pPr>
      <w:r w:rsidRPr="0034493D">
        <w:rPr>
          <w:rFonts w:ascii="Times New Roman" w:hAnsi="Times New Roman" w:cs="Times New Roman"/>
          <w:sz w:val="22"/>
          <w:szCs w:val="22"/>
        </w:rPr>
        <w:t>Du côté négatif (bas), GDP_per_capita et Alcohol_consumption caractérisent des pays plus petits ou ayant des profils économiques et comportementaux spécifiques.</w:t>
      </w:r>
    </w:p>
    <w:p w14:paraId="2ACE596C" w14:textId="77777777" w:rsidR="00A559D3" w:rsidRDefault="00A559D3" w:rsidP="00BD7C16">
      <w:pPr>
        <w:jc w:val="both"/>
        <w:rPr>
          <w:rFonts w:ascii="Times New Roman" w:hAnsi="Times New Roman" w:cs="Times New Roman"/>
          <w:sz w:val="22"/>
          <w:szCs w:val="22"/>
        </w:rPr>
      </w:pPr>
    </w:p>
    <w:p w14:paraId="1B40F7E4" w14:textId="77777777" w:rsidR="00A559D3" w:rsidRDefault="00A559D3" w:rsidP="00BD7C16">
      <w:pPr>
        <w:jc w:val="both"/>
        <w:rPr>
          <w:rFonts w:ascii="Times New Roman" w:hAnsi="Times New Roman" w:cs="Times New Roman"/>
          <w:sz w:val="22"/>
          <w:szCs w:val="22"/>
        </w:rPr>
      </w:pPr>
    </w:p>
    <w:p w14:paraId="1924AC55" w14:textId="77777777" w:rsidR="00A559D3" w:rsidRPr="0034493D" w:rsidRDefault="00A559D3" w:rsidP="00BD7C16">
      <w:pPr>
        <w:jc w:val="both"/>
        <w:rPr>
          <w:rFonts w:ascii="Times New Roman" w:hAnsi="Times New Roman" w:cs="Times New Roman"/>
          <w:sz w:val="22"/>
          <w:szCs w:val="22"/>
        </w:rPr>
      </w:pPr>
    </w:p>
    <w:p w14:paraId="41981B67" w14:textId="634049A4" w:rsidR="004707DC" w:rsidRPr="00AB186E" w:rsidRDefault="004707DC" w:rsidP="00BD7C16">
      <w:pPr>
        <w:jc w:val="both"/>
        <w:rPr>
          <w:rFonts w:ascii="Times New Roman" w:hAnsi="Times New Roman" w:cs="Times New Roman"/>
          <w:b/>
          <w:bCs/>
          <w:sz w:val="22"/>
          <w:szCs w:val="22"/>
        </w:rPr>
      </w:pPr>
      <w:r w:rsidRPr="00AB186E">
        <w:rPr>
          <w:rFonts w:ascii="Times New Roman" w:hAnsi="Times New Roman" w:cs="Times New Roman"/>
          <w:b/>
          <w:bCs/>
          <w:sz w:val="22"/>
          <w:szCs w:val="22"/>
        </w:rPr>
        <w:t xml:space="preserve">4. Analyses des individus </w:t>
      </w:r>
    </w:p>
    <w:p w14:paraId="3D4AC602" w14:textId="62218D1B" w:rsidR="0034493D" w:rsidRDefault="00616820" w:rsidP="00BD7C16">
      <w:pPr>
        <w:jc w:val="both"/>
        <w:rPr>
          <w:rFonts w:ascii="Times New Roman" w:hAnsi="Times New Roman" w:cs="Times New Roman"/>
          <w:b/>
          <w:bCs/>
        </w:rPr>
      </w:pPr>
      <w:r>
        <w:rPr>
          <w:noProof/>
        </w:rPr>
        <w:drawing>
          <wp:inline distT="0" distB="0" distL="0" distR="0" wp14:anchorId="5AD60E25" wp14:editId="0A73BF35">
            <wp:extent cx="3691976" cy="2892699"/>
            <wp:effectExtent l="0" t="0" r="3810" b="3175"/>
            <wp:docPr id="2057210187" name="Image 3"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 obj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5880" cy="2934933"/>
                    </a:xfrm>
                    <a:prstGeom prst="rect">
                      <a:avLst/>
                    </a:prstGeom>
                    <a:noFill/>
                    <a:ln>
                      <a:noFill/>
                    </a:ln>
                  </pic:spPr>
                </pic:pic>
              </a:graphicData>
            </a:graphic>
          </wp:inline>
        </w:drawing>
      </w:r>
    </w:p>
    <w:p w14:paraId="57630D0A" w14:textId="77777777" w:rsidR="00B04A96" w:rsidRPr="00AB186E" w:rsidRDefault="00B04A96" w:rsidP="00BD7C16">
      <w:pPr>
        <w:jc w:val="both"/>
        <w:rPr>
          <w:rFonts w:ascii="Times New Roman" w:hAnsi="Times New Roman" w:cs="Times New Roman"/>
          <w:b/>
          <w:bCs/>
          <w:sz w:val="22"/>
          <w:szCs w:val="22"/>
        </w:rPr>
      </w:pPr>
      <w:r w:rsidRPr="00AB186E">
        <w:rPr>
          <w:rFonts w:ascii="Times New Roman" w:hAnsi="Times New Roman" w:cs="Times New Roman"/>
          <w:b/>
          <w:bCs/>
          <w:sz w:val="22"/>
          <w:szCs w:val="22"/>
        </w:rPr>
        <w:t>4.a - Quels pays sont proches les uns des autres ? Que peut-on dire de leur profil de santé ?</w:t>
      </w:r>
    </w:p>
    <w:p w14:paraId="34F36D09" w14:textId="77777777" w:rsidR="00AB186E" w:rsidRDefault="00AB186E" w:rsidP="00BD7C16">
      <w:pPr>
        <w:jc w:val="both"/>
        <w:rPr>
          <w:rFonts w:ascii="Times New Roman" w:hAnsi="Times New Roman" w:cs="Times New Roman"/>
          <w:sz w:val="22"/>
          <w:szCs w:val="22"/>
        </w:rPr>
      </w:pPr>
      <w:r w:rsidRPr="00AB186E">
        <w:rPr>
          <w:rFonts w:ascii="Times New Roman" w:hAnsi="Times New Roman" w:cs="Times New Roman"/>
          <w:sz w:val="22"/>
          <w:szCs w:val="22"/>
        </w:rPr>
        <w:t>Les pays développés (Europe de l’Ouest, Amérique du Nord, Australie, Nouvelle-Zélande) sont massivement regroupés à droite sur le graphique, montrant des profils sanitaires presque identiques (haute espérance de vie, faible mortalité infantile).</w:t>
      </w:r>
      <w:r w:rsidRPr="00AB186E">
        <w:rPr>
          <w:rFonts w:ascii="Times New Roman" w:hAnsi="Times New Roman" w:cs="Times New Roman"/>
          <w:sz w:val="22"/>
          <w:szCs w:val="22"/>
        </w:rPr>
        <w:br/>
        <w:t>Les pays en développement (Afrique, Asie du Sud) occupent la gauche, avec un regroupement marqué autour de profils sanitaires plus précaires : forte mortalité et accès limité aux soins.</w:t>
      </w:r>
      <w:r w:rsidRPr="00AB186E">
        <w:rPr>
          <w:rFonts w:ascii="Times New Roman" w:hAnsi="Times New Roman" w:cs="Times New Roman"/>
          <w:sz w:val="22"/>
          <w:szCs w:val="22"/>
        </w:rPr>
        <w:br/>
        <w:t>Les pays émergents comme la Chine, l’Inde ou le Brésil se situent dans une zone intermédiaire. Certains pays atypiques se démarquent : l’Inde est proche des pays à faible développement malgré sa puissance économique, tandis que les États du Golfe, très riches, sont à droite mais pas toujours au niveau des pays occidentaux pour la santé.</w:t>
      </w:r>
    </w:p>
    <w:p w14:paraId="446C0505" w14:textId="19DFACC3" w:rsidR="00B04A96" w:rsidRDefault="00B04A96" w:rsidP="00BD7C16">
      <w:pPr>
        <w:jc w:val="both"/>
        <w:rPr>
          <w:rFonts w:ascii="Times New Roman" w:hAnsi="Times New Roman" w:cs="Times New Roman"/>
          <w:b/>
          <w:bCs/>
          <w:sz w:val="22"/>
          <w:szCs w:val="22"/>
        </w:rPr>
      </w:pPr>
      <w:r w:rsidRPr="00B04A96">
        <w:rPr>
          <w:rFonts w:ascii="Times New Roman" w:hAnsi="Times New Roman" w:cs="Times New Roman"/>
          <w:b/>
          <w:bCs/>
          <w:sz w:val="22"/>
          <w:szCs w:val="22"/>
        </w:rPr>
        <w:t>4.b - Changez la coloration des individus selon la contribution et gardez uniquement les 100 premiers</w:t>
      </w:r>
    </w:p>
    <w:p w14:paraId="01F676E9" w14:textId="62B8E11F" w:rsidR="00616820" w:rsidRPr="00B04A96" w:rsidRDefault="00616820" w:rsidP="00BD7C16">
      <w:pPr>
        <w:jc w:val="both"/>
        <w:rPr>
          <w:rFonts w:ascii="Times New Roman" w:hAnsi="Times New Roman" w:cs="Times New Roman"/>
          <w:b/>
          <w:bCs/>
          <w:sz w:val="22"/>
          <w:szCs w:val="22"/>
        </w:rPr>
      </w:pPr>
      <w:r>
        <w:rPr>
          <w:noProof/>
        </w:rPr>
        <w:lastRenderedPageBreak/>
        <w:drawing>
          <wp:inline distT="0" distB="0" distL="0" distR="0" wp14:anchorId="51AFFCB5" wp14:editId="2773F0EB">
            <wp:extent cx="4296890" cy="3366654"/>
            <wp:effectExtent l="0" t="0" r="8890" b="5715"/>
            <wp:docPr id="799668733" name="Image 4"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ot ob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1810" cy="3370509"/>
                    </a:xfrm>
                    <a:prstGeom prst="rect">
                      <a:avLst/>
                    </a:prstGeom>
                    <a:noFill/>
                    <a:ln>
                      <a:noFill/>
                    </a:ln>
                  </pic:spPr>
                </pic:pic>
              </a:graphicData>
            </a:graphic>
          </wp:inline>
        </w:drawing>
      </w:r>
    </w:p>
    <w:p w14:paraId="4F9E3351" w14:textId="36A32643" w:rsidR="00B04A96" w:rsidRPr="00B04A96" w:rsidRDefault="00B04A96" w:rsidP="00BD7C16">
      <w:pPr>
        <w:jc w:val="both"/>
        <w:rPr>
          <w:rFonts w:ascii="Times New Roman" w:hAnsi="Times New Roman" w:cs="Times New Roman"/>
          <w:sz w:val="22"/>
          <w:szCs w:val="22"/>
        </w:rPr>
      </w:pPr>
    </w:p>
    <w:p w14:paraId="4FC9F3A5" w14:textId="77777777" w:rsidR="00B04A96" w:rsidRPr="00B04A96" w:rsidRDefault="00B04A96" w:rsidP="00BD7C16">
      <w:pPr>
        <w:jc w:val="both"/>
        <w:rPr>
          <w:rFonts w:ascii="Times New Roman" w:hAnsi="Times New Roman" w:cs="Times New Roman"/>
          <w:b/>
          <w:bCs/>
          <w:sz w:val="22"/>
          <w:szCs w:val="22"/>
        </w:rPr>
      </w:pPr>
      <w:r w:rsidRPr="00B04A96">
        <w:rPr>
          <w:rFonts w:ascii="Times New Roman" w:hAnsi="Times New Roman" w:cs="Times New Roman"/>
          <w:b/>
          <w:bCs/>
          <w:sz w:val="22"/>
          <w:szCs w:val="22"/>
        </w:rPr>
        <w:t>4.c - Qu'observe-t-on sur la relation entre variables et groupes de pays ?</w:t>
      </w:r>
    </w:p>
    <w:p w14:paraId="127046A6" w14:textId="77777777" w:rsidR="00A559D3" w:rsidRDefault="00A559D3" w:rsidP="00BD7C16">
      <w:pPr>
        <w:jc w:val="both"/>
        <w:rPr>
          <w:rFonts w:ascii="Times New Roman" w:hAnsi="Times New Roman" w:cs="Times New Roman"/>
          <w:sz w:val="22"/>
          <w:szCs w:val="22"/>
        </w:rPr>
      </w:pPr>
      <w:r w:rsidRPr="00A559D3">
        <w:rPr>
          <w:rFonts w:ascii="Times New Roman" w:hAnsi="Times New Roman" w:cs="Times New Roman"/>
          <w:sz w:val="22"/>
          <w:szCs w:val="22"/>
        </w:rPr>
        <w:t>La correspondance entre la direction des flèches de variables et la position des groupes de pays est très forte : les pays développés à droite sont alignés avec les variables positives (espérance de vie, éducation, PIB, vaccination) parce qu’ils ont de fortes valeurs dans ces domaines.</w:t>
      </w:r>
      <w:r w:rsidRPr="00A559D3">
        <w:rPr>
          <w:rFonts w:ascii="Times New Roman" w:hAnsi="Times New Roman" w:cs="Times New Roman"/>
          <w:sz w:val="22"/>
          <w:szCs w:val="22"/>
        </w:rPr>
        <w:br/>
        <w:t>Inversement, les pays en développement à gauche sont alignés avec les variables négatives (mortalité, maigreur) car ils enregistrent des taux élevés pour ces indicateurs.</w:t>
      </w:r>
      <w:r w:rsidRPr="00A559D3">
        <w:rPr>
          <w:rFonts w:ascii="Times New Roman" w:hAnsi="Times New Roman" w:cs="Times New Roman"/>
          <w:sz w:val="22"/>
          <w:szCs w:val="22"/>
        </w:rPr>
        <w:br/>
        <w:t>Cette cohérence graphique valide le modèle ACP : la méthode positionne les pays selon leurs profils sanitaires réels, les flèches des variables pointant bien vers les pays qui présentent ces caractéristiques marquées.</w:t>
      </w:r>
    </w:p>
    <w:p w14:paraId="290EA20A" w14:textId="4F267C02" w:rsidR="00B04A96" w:rsidRPr="00B04A96" w:rsidRDefault="00B04A96" w:rsidP="00BD7C16">
      <w:pPr>
        <w:jc w:val="both"/>
        <w:rPr>
          <w:rFonts w:ascii="Times New Roman" w:hAnsi="Times New Roman" w:cs="Times New Roman"/>
          <w:b/>
          <w:bCs/>
          <w:sz w:val="22"/>
          <w:szCs w:val="22"/>
        </w:rPr>
      </w:pPr>
      <w:r w:rsidRPr="00B04A96">
        <w:rPr>
          <w:rFonts w:ascii="Times New Roman" w:hAnsi="Times New Roman" w:cs="Times New Roman"/>
          <w:b/>
          <w:bCs/>
          <w:sz w:val="22"/>
          <w:szCs w:val="22"/>
        </w:rPr>
        <w:t>4.d - Les pays à forte espérance de vie se situent-ils dans la même direction que certaines variables ?</w:t>
      </w:r>
    </w:p>
    <w:p w14:paraId="7AE00793" w14:textId="6ACF61A9" w:rsidR="00BA704E" w:rsidRDefault="00BA704E" w:rsidP="00BA704E">
      <w:pPr>
        <w:rPr>
          <w:rFonts w:ascii="Times New Roman" w:hAnsi="Times New Roman" w:cs="Times New Roman"/>
          <w:sz w:val="22"/>
          <w:szCs w:val="22"/>
        </w:rPr>
      </w:pPr>
      <w:r>
        <w:rPr>
          <w:rFonts w:ascii="Times New Roman" w:hAnsi="Times New Roman" w:cs="Times New Roman"/>
          <w:sz w:val="22"/>
          <w:szCs w:val="22"/>
        </w:rPr>
        <w:t>L’</w:t>
      </w:r>
      <w:r w:rsidRPr="00BA704E">
        <w:rPr>
          <w:rFonts w:ascii="Times New Roman" w:hAnsi="Times New Roman" w:cs="Times New Roman"/>
          <w:sz w:val="22"/>
          <w:szCs w:val="22"/>
        </w:rPr>
        <w:t xml:space="preserve">analyse montre que les pays avec la plus forte espérance de vie (Japon, Suisse, Islande, Espagne, Italie…) sont positionnés à l’extrême droite du graphique, dans la même direction que les flèches </w:t>
      </w:r>
      <w:r>
        <w:rPr>
          <w:rFonts w:ascii="Times New Roman" w:hAnsi="Times New Roman" w:cs="Times New Roman"/>
          <w:sz w:val="22"/>
          <w:szCs w:val="22"/>
        </w:rPr>
        <w:t>‘</w:t>
      </w:r>
      <w:r w:rsidRPr="00BA704E">
        <w:rPr>
          <w:rFonts w:ascii="Times New Roman" w:hAnsi="Times New Roman" w:cs="Times New Roman"/>
          <w:sz w:val="22"/>
          <w:szCs w:val="22"/>
        </w:rPr>
        <w:t>Life_expectancy</w:t>
      </w:r>
      <w:r>
        <w:rPr>
          <w:rFonts w:ascii="Times New Roman" w:hAnsi="Times New Roman" w:cs="Times New Roman"/>
          <w:sz w:val="22"/>
          <w:szCs w:val="22"/>
        </w:rPr>
        <w:t>’</w:t>
      </w:r>
      <w:r w:rsidRPr="00BA704E">
        <w:rPr>
          <w:rFonts w:ascii="Times New Roman" w:hAnsi="Times New Roman" w:cs="Times New Roman"/>
          <w:sz w:val="22"/>
          <w:szCs w:val="22"/>
        </w:rPr>
        <w:t xml:space="preserve">, </w:t>
      </w:r>
      <w:r>
        <w:rPr>
          <w:rFonts w:ascii="Times New Roman" w:hAnsi="Times New Roman" w:cs="Times New Roman"/>
          <w:sz w:val="22"/>
          <w:szCs w:val="22"/>
        </w:rPr>
        <w:t>‘</w:t>
      </w:r>
      <w:r w:rsidRPr="00BA704E">
        <w:rPr>
          <w:rFonts w:ascii="Times New Roman" w:hAnsi="Times New Roman" w:cs="Times New Roman"/>
          <w:sz w:val="22"/>
          <w:szCs w:val="22"/>
        </w:rPr>
        <w:t>Schooling</w:t>
      </w:r>
      <w:r>
        <w:rPr>
          <w:rFonts w:ascii="Times New Roman" w:hAnsi="Times New Roman" w:cs="Times New Roman"/>
          <w:sz w:val="22"/>
          <w:szCs w:val="22"/>
        </w:rPr>
        <w:t>’</w:t>
      </w:r>
      <w:r w:rsidRPr="00BA704E">
        <w:rPr>
          <w:rFonts w:ascii="Times New Roman" w:hAnsi="Times New Roman" w:cs="Times New Roman"/>
          <w:sz w:val="22"/>
          <w:szCs w:val="22"/>
        </w:rPr>
        <w:t xml:space="preserve"> et </w:t>
      </w:r>
      <w:r>
        <w:rPr>
          <w:rFonts w:ascii="Times New Roman" w:hAnsi="Times New Roman" w:cs="Times New Roman"/>
          <w:sz w:val="22"/>
          <w:szCs w:val="22"/>
        </w:rPr>
        <w:t>‘</w:t>
      </w:r>
      <w:r w:rsidRPr="00BA704E">
        <w:rPr>
          <w:rFonts w:ascii="Times New Roman" w:hAnsi="Times New Roman" w:cs="Times New Roman"/>
          <w:sz w:val="22"/>
          <w:szCs w:val="22"/>
        </w:rPr>
        <w:t>GDP_per_capita</w:t>
      </w:r>
      <w:r>
        <w:rPr>
          <w:rFonts w:ascii="Times New Roman" w:hAnsi="Times New Roman" w:cs="Times New Roman"/>
          <w:sz w:val="22"/>
          <w:szCs w:val="22"/>
        </w:rPr>
        <w:t>’.</w:t>
      </w:r>
      <w:r w:rsidRPr="00BA704E">
        <w:rPr>
          <w:rFonts w:ascii="Times New Roman" w:hAnsi="Times New Roman" w:cs="Times New Roman"/>
          <w:sz w:val="22"/>
          <w:szCs w:val="22"/>
        </w:rPr>
        <w:br/>
        <w:t>Ces pays combinent haute espérance de vie, niveau d’éducation élevé et grande richesse, toujours associés à une excellente couverture vaccinale.</w:t>
      </w:r>
      <w:r w:rsidRPr="00BA704E">
        <w:rPr>
          <w:rFonts w:ascii="Times New Roman" w:hAnsi="Times New Roman" w:cs="Times New Roman"/>
          <w:sz w:val="22"/>
          <w:szCs w:val="22"/>
        </w:rPr>
        <w:br/>
        <w:t>La concordance de la position des pays et de la direction des variables positives valide parfaitement le modèle : les indicateurs de santé, d’éducation et d’économie évoluent ensemble chez les pays les plus avancés.</w:t>
      </w:r>
    </w:p>
    <w:p w14:paraId="455D77B2" w14:textId="7C87A55E" w:rsidR="00616820" w:rsidRPr="004D05C0" w:rsidRDefault="004D05C0" w:rsidP="00BD7C16">
      <w:pPr>
        <w:jc w:val="both"/>
        <w:rPr>
          <w:rFonts w:ascii="Times New Roman" w:hAnsi="Times New Roman" w:cs="Times New Roman"/>
          <w:b/>
          <w:bCs/>
          <w:sz w:val="22"/>
          <w:szCs w:val="22"/>
        </w:rPr>
      </w:pPr>
      <w:r w:rsidRPr="004D05C0">
        <w:rPr>
          <w:rFonts w:ascii="Times New Roman" w:hAnsi="Times New Roman" w:cs="Times New Roman"/>
          <w:b/>
          <w:bCs/>
          <w:sz w:val="22"/>
          <w:szCs w:val="22"/>
        </w:rPr>
        <w:t xml:space="preserve">5. En coloriant les points selon la région (continent) uniquement : </w:t>
      </w:r>
    </w:p>
    <w:p w14:paraId="4DBBAC38" w14:textId="5D6F8636" w:rsidR="004D05C0" w:rsidRDefault="004D05C0" w:rsidP="00BD7C16">
      <w:pPr>
        <w:jc w:val="both"/>
        <w:rPr>
          <w:rFonts w:ascii="Times New Roman" w:hAnsi="Times New Roman" w:cs="Times New Roman"/>
          <w:sz w:val="22"/>
          <w:szCs w:val="22"/>
        </w:rPr>
      </w:pPr>
    </w:p>
    <w:p w14:paraId="683C952A" w14:textId="150FEF53" w:rsidR="00E93F99" w:rsidRDefault="00E93F99" w:rsidP="00BD7C16">
      <w:pPr>
        <w:jc w:val="both"/>
        <w:rPr>
          <w:rFonts w:ascii="Times New Roman" w:hAnsi="Times New Roman" w:cs="Times New Roman"/>
          <w:sz w:val="22"/>
          <w:szCs w:val="22"/>
        </w:rPr>
      </w:pPr>
      <w:r>
        <w:rPr>
          <w:noProof/>
        </w:rPr>
        <w:drawing>
          <wp:inline distT="0" distB="0" distL="0" distR="0" wp14:anchorId="074B41BB" wp14:editId="3A17AEA4">
            <wp:extent cx="4834477" cy="2776451"/>
            <wp:effectExtent l="0" t="0" r="4445" b="5080"/>
            <wp:docPr id="51969204" name="Image 1"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 obj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13262" b="13439"/>
                    <a:stretch>
                      <a:fillRect/>
                    </a:stretch>
                  </pic:blipFill>
                  <pic:spPr bwMode="auto">
                    <a:xfrm>
                      <a:off x="0" y="0"/>
                      <a:ext cx="4886379" cy="2806258"/>
                    </a:xfrm>
                    <a:prstGeom prst="rect">
                      <a:avLst/>
                    </a:prstGeom>
                    <a:noFill/>
                    <a:ln>
                      <a:noFill/>
                    </a:ln>
                    <a:extLst>
                      <a:ext uri="{53640926-AAD7-44D8-BBD7-CCE9431645EC}">
                        <a14:shadowObscured xmlns:a14="http://schemas.microsoft.com/office/drawing/2010/main"/>
                      </a:ext>
                    </a:extLst>
                  </pic:spPr>
                </pic:pic>
              </a:graphicData>
            </a:graphic>
          </wp:inline>
        </w:drawing>
      </w:r>
    </w:p>
    <w:p w14:paraId="31992BC9" w14:textId="1EE24995" w:rsidR="007A3429" w:rsidRPr="00E93F99" w:rsidRDefault="007A3429" w:rsidP="00BD7C16">
      <w:pPr>
        <w:jc w:val="both"/>
        <w:rPr>
          <w:rFonts w:ascii="Times New Roman" w:hAnsi="Times New Roman" w:cs="Times New Roman"/>
          <w:b/>
          <w:bCs/>
          <w:sz w:val="22"/>
          <w:szCs w:val="22"/>
        </w:rPr>
      </w:pPr>
      <w:r w:rsidRPr="00E93F99">
        <w:rPr>
          <w:rFonts w:ascii="Times New Roman" w:hAnsi="Times New Roman" w:cs="Times New Roman"/>
          <w:b/>
          <w:bCs/>
          <w:sz w:val="22"/>
          <w:szCs w:val="22"/>
        </w:rPr>
        <w:t xml:space="preserve">5. (a) Quelles régions regroupent les pays à plus forte espérance de vie : </w:t>
      </w:r>
    </w:p>
    <w:p w14:paraId="2CCB1229" w14:textId="026622BB" w:rsidR="00E93F99" w:rsidRPr="00E93F99" w:rsidRDefault="00E93F99" w:rsidP="00E93F99">
      <w:pPr>
        <w:jc w:val="both"/>
        <w:rPr>
          <w:rFonts w:ascii="Times New Roman" w:hAnsi="Times New Roman" w:cs="Times New Roman"/>
          <w:sz w:val="22"/>
          <w:szCs w:val="22"/>
        </w:rPr>
      </w:pPr>
      <w:r w:rsidRPr="00E93F99">
        <w:rPr>
          <w:rFonts w:ascii="Times New Roman" w:hAnsi="Times New Roman" w:cs="Times New Roman"/>
          <w:sz w:val="22"/>
          <w:szCs w:val="22"/>
        </w:rPr>
        <w:t>Selon le cercle des corrélations, la variable "Life_expectancy" pointe très fortement vers la droite sur l'axe Dim 1</w:t>
      </w:r>
      <w:r w:rsidR="0058047D">
        <w:rPr>
          <w:rFonts w:ascii="Times New Roman" w:hAnsi="Times New Roman" w:cs="Times New Roman"/>
          <w:sz w:val="22"/>
          <w:szCs w:val="22"/>
        </w:rPr>
        <w:t xml:space="preserve">. </w:t>
      </w:r>
      <w:r w:rsidRPr="00E93F99">
        <w:rPr>
          <w:rFonts w:ascii="Times New Roman" w:hAnsi="Times New Roman" w:cs="Times New Roman"/>
          <w:sz w:val="22"/>
          <w:szCs w:val="22"/>
        </w:rPr>
        <w:t>Sur le graphique des individus, les points regroupés sur la droite de Dim 1 correspondent surtout aux pays des régions suivantes :</w:t>
      </w:r>
    </w:p>
    <w:p w14:paraId="05847F26" w14:textId="77777777" w:rsidR="00E93F99" w:rsidRPr="00E93F99" w:rsidRDefault="00E93F99" w:rsidP="00E93F99">
      <w:pPr>
        <w:numPr>
          <w:ilvl w:val="0"/>
          <w:numId w:val="4"/>
        </w:numPr>
        <w:jc w:val="both"/>
        <w:rPr>
          <w:rFonts w:ascii="Times New Roman" w:hAnsi="Times New Roman" w:cs="Times New Roman"/>
          <w:sz w:val="22"/>
          <w:szCs w:val="22"/>
        </w:rPr>
      </w:pPr>
      <w:r w:rsidRPr="00E93F99">
        <w:rPr>
          <w:rFonts w:ascii="Times New Roman" w:hAnsi="Times New Roman" w:cs="Times New Roman"/>
          <w:sz w:val="22"/>
          <w:szCs w:val="22"/>
        </w:rPr>
        <w:t>European Union (points bleus) : ce groupe est fortement concentré à droite, associé à l’espérance de vie élevée et à de bons indicateurs économiques et de vaccination.​</w:t>
      </w:r>
    </w:p>
    <w:p w14:paraId="470E7686" w14:textId="77777777" w:rsidR="00E93F99" w:rsidRPr="00E93F99" w:rsidRDefault="00E93F99" w:rsidP="00E93F99">
      <w:pPr>
        <w:numPr>
          <w:ilvl w:val="0"/>
          <w:numId w:val="4"/>
        </w:numPr>
        <w:jc w:val="both"/>
        <w:rPr>
          <w:rFonts w:ascii="Times New Roman" w:hAnsi="Times New Roman" w:cs="Times New Roman"/>
          <w:sz w:val="22"/>
          <w:szCs w:val="22"/>
        </w:rPr>
      </w:pPr>
      <w:r w:rsidRPr="00E93F99">
        <w:rPr>
          <w:rFonts w:ascii="Times New Roman" w:hAnsi="Times New Roman" w:cs="Times New Roman"/>
          <w:sz w:val="22"/>
          <w:szCs w:val="22"/>
        </w:rPr>
        <w:t>North America (points moutarde) : également situé à droite, avec le même profil de développement et de santé élevé.​</w:t>
      </w:r>
    </w:p>
    <w:p w14:paraId="10E5C27B" w14:textId="77777777" w:rsidR="00E93F99" w:rsidRPr="00E93F99" w:rsidRDefault="00E93F99" w:rsidP="00E93F99">
      <w:pPr>
        <w:numPr>
          <w:ilvl w:val="0"/>
          <w:numId w:val="4"/>
        </w:numPr>
        <w:jc w:val="both"/>
        <w:rPr>
          <w:rFonts w:ascii="Times New Roman" w:hAnsi="Times New Roman" w:cs="Times New Roman"/>
          <w:sz w:val="22"/>
          <w:szCs w:val="22"/>
        </w:rPr>
      </w:pPr>
      <w:r w:rsidRPr="00E93F99">
        <w:rPr>
          <w:rFonts w:ascii="Times New Roman" w:hAnsi="Times New Roman" w:cs="Times New Roman"/>
          <w:sz w:val="22"/>
          <w:szCs w:val="22"/>
        </w:rPr>
        <w:t>Rest of Europe (gris) : ces pays sont aussi proches de cette zone développée.</w:t>
      </w:r>
    </w:p>
    <w:p w14:paraId="5962AD51" w14:textId="77777777" w:rsidR="00E93F99" w:rsidRPr="00E93F99" w:rsidRDefault="00E93F99" w:rsidP="00E93F99">
      <w:pPr>
        <w:numPr>
          <w:ilvl w:val="0"/>
          <w:numId w:val="4"/>
        </w:numPr>
        <w:jc w:val="both"/>
        <w:rPr>
          <w:rFonts w:ascii="Times New Roman" w:hAnsi="Times New Roman" w:cs="Times New Roman"/>
          <w:sz w:val="22"/>
          <w:szCs w:val="22"/>
        </w:rPr>
      </w:pPr>
      <w:r w:rsidRPr="00E93F99">
        <w:rPr>
          <w:rFonts w:ascii="Times New Roman" w:hAnsi="Times New Roman" w:cs="Times New Roman"/>
          <w:sz w:val="22"/>
          <w:szCs w:val="22"/>
        </w:rPr>
        <w:t>Oceania (cyan) : situés très près du groupe européen et nord-américain, affichant également des niveaux élevés.</w:t>
      </w:r>
    </w:p>
    <w:p w14:paraId="4FA5C8F7" w14:textId="140709A1" w:rsidR="00E93F99" w:rsidRDefault="00E93F99" w:rsidP="00BD7C16">
      <w:pPr>
        <w:jc w:val="both"/>
        <w:rPr>
          <w:rFonts w:ascii="Times New Roman" w:hAnsi="Times New Roman" w:cs="Times New Roman"/>
          <w:sz w:val="22"/>
          <w:szCs w:val="22"/>
        </w:rPr>
      </w:pPr>
      <w:r w:rsidRPr="00E93F99">
        <w:rPr>
          <w:rFonts w:ascii="Times New Roman" w:hAnsi="Times New Roman" w:cs="Times New Roman"/>
          <w:sz w:val="22"/>
          <w:szCs w:val="22"/>
        </w:rPr>
        <w:t>Ces régions regroupent donc les pays ayant la plus forte espérance de vie et les meilleurs indicateurs de santé et d’éducation</w:t>
      </w:r>
    </w:p>
    <w:p w14:paraId="478F60AF" w14:textId="77777777" w:rsidR="00E93F99" w:rsidRPr="00E93F99" w:rsidRDefault="007A3429" w:rsidP="00E93F99">
      <w:pPr>
        <w:jc w:val="both"/>
        <w:rPr>
          <w:rFonts w:ascii="Times New Roman" w:hAnsi="Times New Roman" w:cs="Times New Roman"/>
          <w:b/>
          <w:bCs/>
          <w:sz w:val="22"/>
          <w:szCs w:val="22"/>
        </w:rPr>
      </w:pPr>
      <w:r w:rsidRPr="00E93F99">
        <w:rPr>
          <w:rFonts w:ascii="Times New Roman" w:hAnsi="Times New Roman" w:cs="Times New Roman"/>
          <w:b/>
          <w:bCs/>
          <w:sz w:val="22"/>
          <w:szCs w:val="22"/>
        </w:rPr>
        <w:t>(b) Quelles régions sont associées à des niveaux plus faibles de développement ou de santé</w:t>
      </w:r>
      <w:r w:rsidR="00E93F99" w:rsidRPr="00E93F99">
        <w:rPr>
          <w:rFonts w:ascii="Times New Roman" w:hAnsi="Times New Roman" w:cs="Times New Roman"/>
          <w:b/>
          <w:bCs/>
          <w:sz w:val="22"/>
          <w:szCs w:val="22"/>
        </w:rPr>
        <w:t xml:space="preserve"> : </w:t>
      </w:r>
    </w:p>
    <w:p w14:paraId="7CA79602" w14:textId="4D4ABF07" w:rsidR="00E93F99" w:rsidRPr="00E93F99" w:rsidRDefault="00E93F99" w:rsidP="00E93F99">
      <w:pPr>
        <w:jc w:val="both"/>
        <w:rPr>
          <w:rFonts w:ascii="Times New Roman" w:hAnsi="Times New Roman" w:cs="Times New Roman"/>
          <w:sz w:val="22"/>
          <w:szCs w:val="22"/>
        </w:rPr>
      </w:pPr>
      <w:r w:rsidRPr="00E93F99">
        <w:rPr>
          <w:rFonts w:ascii="Times New Roman" w:hAnsi="Times New Roman" w:cs="Times New Roman"/>
          <w:sz w:val="22"/>
          <w:szCs w:val="22"/>
        </w:rPr>
        <w:t>Le cercle des corrélations indique que les variables "Infant_deaths", "Under_five_deaths", "Adult_mortality", et "Economy_status" pointent vers la gauche sur l’axe Dim 1.​</w:t>
      </w:r>
      <w:r w:rsidRPr="00E93F99">
        <w:rPr>
          <w:rFonts w:ascii="Times New Roman" w:hAnsi="Times New Roman" w:cs="Times New Roman"/>
          <w:sz w:val="22"/>
          <w:szCs w:val="22"/>
        </w:rPr>
        <w:br/>
        <w:t>Les points à gauche de Dim 1 dans le graphique des individus sont composés majoritairement de :</w:t>
      </w:r>
    </w:p>
    <w:p w14:paraId="4432B74C" w14:textId="77777777" w:rsidR="00E93F99" w:rsidRPr="00E93F99" w:rsidRDefault="00E93F99" w:rsidP="00E93F99">
      <w:pPr>
        <w:numPr>
          <w:ilvl w:val="0"/>
          <w:numId w:val="5"/>
        </w:numPr>
        <w:jc w:val="both"/>
        <w:rPr>
          <w:rFonts w:ascii="Times New Roman" w:hAnsi="Times New Roman" w:cs="Times New Roman"/>
          <w:sz w:val="22"/>
          <w:szCs w:val="22"/>
        </w:rPr>
      </w:pPr>
      <w:r w:rsidRPr="00E93F99">
        <w:rPr>
          <w:rFonts w:ascii="Times New Roman" w:hAnsi="Times New Roman" w:cs="Times New Roman"/>
          <w:sz w:val="22"/>
          <w:szCs w:val="22"/>
        </w:rPr>
        <w:t>Africa (points noirs) : très majoritaire dans cette zone, cette région est associée à une espérance de vie plus basse, un taux de mortalité infantile et adulte élevé, et de faibles indicateurs de développement.​</w:t>
      </w:r>
    </w:p>
    <w:p w14:paraId="68AEC017" w14:textId="77777777" w:rsidR="00E93F99" w:rsidRPr="00E93F99" w:rsidRDefault="00E93F99" w:rsidP="00E93F99">
      <w:pPr>
        <w:numPr>
          <w:ilvl w:val="0"/>
          <w:numId w:val="5"/>
        </w:numPr>
        <w:jc w:val="both"/>
        <w:rPr>
          <w:rFonts w:ascii="Times New Roman" w:hAnsi="Times New Roman" w:cs="Times New Roman"/>
          <w:sz w:val="22"/>
          <w:szCs w:val="22"/>
        </w:rPr>
      </w:pPr>
      <w:r w:rsidRPr="00E93F99">
        <w:rPr>
          <w:rFonts w:ascii="Times New Roman" w:hAnsi="Times New Roman" w:cs="Times New Roman"/>
          <w:sz w:val="22"/>
          <w:szCs w:val="22"/>
        </w:rPr>
        <w:lastRenderedPageBreak/>
        <w:t>Asia (points rouges) : une partie de l’Asie se situe également sur la gauche, reflétant des indicateurs de santé et de développement plus faibles, bien que l’Asie soit très hétérogène.</w:t>
      </w:r>
    </w:p>
    <w:p w14:paraId="130C1843" w14:textId="77777777" w:rsidR="00E93F99" w:rsidRPr="00E93F99" w:rsidRDefault="00E93F99" w:rsidP="00E93F99">
      <w:pPr>
        <w:numPr>
          <w:ilvl w:val="0"/>
          <w:numId w:val="5"/>
        </w:numPr>
        <w:jc w:val="both"/>
        <w:rPr>
          <w:rFonts w:ascii="Times New Roman" w:hAnsi="Times New Roman" w:cs="Times New Roman"/>
          <w:sz w:val="22"/>
          <w:szCs w:val="22"/>
        </w:rPr>
      </w:pPr>
      <w:r w:rsidRPr="00E93F99">
        <w:rPr>
          <w:rFonts w:ascii="Times New Roman" w:hAnsi="Times New Roman" w:cs="Times New Roman"/>
          <w:sz w:val="22"/>
          <w:szCs w:val="22"/>
        </w:rPr>
        <w:t>Central America and Caribbean (vert) : certains points verts sont aussi à gauche, suggérant des niveaux modérés à faibles sur ces axes.</w:t>
      </w:r>
    </w:p>
    <w:p w14:paraId="10A2F01A" w14:textId="5F4F3433" w:rsidR="00DC4D71" w:rsidRDefault="00E93F99" w:rsidP="00BD7C16">
      <w:pPr>
        <w:jc w:val="both"/>
        <w:rPr>
          <w:rFonts w:ascii="Times New Roman" w:hAnsi="Times New Roman" w:cs="Times New Roman"/>
          <w:sz w:val="22"/>
          <w:szCs w:val="22"/>
        </w:rPr>
      </w:pPr>
      <w:r w:rsidRPr="00E93F99">
        <w:rPr>
          <w:rFonts w:ascii="Times New Roman" w:hAnsi="Times New Roman" w:cs="Times New Roman"/>
          <w:sz w:val="22"/>
          <w:szCs w:val="22"/>
        </w:rPr>
        <w:t>Ces régions sont donc associées à des niveaux plus faibles de développement ou de santé, matérialisés par des indicateurs négatifs dans le cercle de corrélations.</w:t>
      </w:r>
    </w:p>
    <w:p w14:paraId="04B61C7C" w14:textId="6A6B0450" w:rsidR="00DC4D71" w:rsidRDefault="007A3429" w:rsidP="00BD7C16">
      <w:pPr>
        <w:jc w:val="both"/>
        <w:rPr>
          <w:rFonts w:ascii="Times New Roman" w:hAnsi="Times New Roman" w:cs="Times New Roman"/>
          <w:b/>
          <w:bCs/>
          <w:sz w:val="22"/>
          <w:szCs w:val="22"/>
        </w:rPr>
      </w:pPr>
      <w:r w:rsidRPr="00F9427F">
        <w:rPr>
          <w:rFonts w:ascii="Times New Roman" w:hAnsi="Times New Roman" w:cs="Times New Roman"/>
          <w:b/>
          <w:bCs/>
          <w:sz w:val="22"/>
          <w:szCs w:val="22"/>
        </w:rPr>
        <w:t>(c)</w:t>
      </w:r>
      <w:r w:rsidR="00AB186E">
        <w:rPr>
          <w:rFonts w:ascii="Times New Roman" w:hAnsi="Times New Roman" w:cs="Times New Roman"/>
          <w:b/>
          <w:bCs/>
          <w:sz w:val="22"/>
          <w:szCs w:val="22"/>
        </w:rPr>
        <w:t xml:space="preserve"> En affichant à nouveau le nom des pays, les pays d’une même région sont-ils regroupés ou dispersé </w:t>
      </w:r>
    </w:p>
    <w:p w14:paraId="31624953" w14:textId="3D53D6C4" w:rsidR="007A3429" w:rsidRDefault="00F9427F" w:rsidP="00BD7C16">
      <w:pPr>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006C27AB">
        <w:rPr>
          <w:noProof/>
        </w:rPr>
        <w:drawing>
          <wp:inline distT="0" distB="0" distL="0" distR="0" wp14:anchorId="5462FA43" wp14:editId="7427CD1B">
            <wp:extent cx="4671752" cy="2757209"/>
            <wp:effectExtent l="0" t="0" r="0" b="5080"/>
            <wp:docPr id="710632980" name="Image 5" descr="Plo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ot object"/>
                    <pic:cNvPicPr>
                      <a:picLocks noChangeAspect="1" noChangeArrowheads="1"/>
                    </pic:cNvPicPr>
                  </pic:nvPicPr>
                  <pic:blipFill rotWithShape="1">
                    <a:blip r:embed="rId12">
                      <a:extLst>
                        <a:ext uri="{28A0092B-C50C-407E-A947-70E740481C1C}">
                          <a14:useLocalDpi xmlns:a14="http://schemas.microsoft.com/office/drawing/2010/main" val="0"/>
                        </a:ext>
                      </a:extLst>
                    </a:blip>
                    <a:srcRect t="12156" b="12519"/>
                    <a:stretch>
                      <a:fillRect/>
                    </a:stretch>
                  </pic:blipFill>
                  <pic:spPr bwMode="auto">
                    <a:xfrm>
                      <a:off x="0" y="0"/>
                      <a:ext cx="4697295" cy="2772284"/>
                    </a:xfrm>
                    <a:prstGeom prst="rect">
                      <a:avLst/>
                    </a:prstGeom>
                    <a:noFill/>
                    <a:ln>
                      <a:noFill/>
                    </a:ln>
                    <a:extLst>
                      <a:ext uri="{53640926-AAD7-44D8-BBD7-CCE9431645EC}">
                        <a14:shadowObscured xmlns:a14="http://schemas.microsoft.com/office/drawing/2010/main"/>
                      </a:ext>
                    </a:extLst>
                  </pic:spPr>
                </pic:pic>
              </a:graphicData>
            </a:graphic>
          </wp:inline>
        </w:drawing>
      </w:r>
    </w:p>
    <w:p w14:paraId="3C4AA0CE" w14:textId="77777777" w:rsidR="00AB186E" w:rsidRPr="00AB186E" w:rsidRDefault="00AB186E" w:rsidP="00AB186E">
      <w:pPr>
        <w:jc w:val="both"/>
        <w:rPr>
          <w:rFonts w:ascii="Times New Roman" w:hAnsi="Times New Roman" w:cs="Times New Roman"/>
          <w:sz w:val="22"/>
          <w:szCs w:val="22"/>
        </w:rPr>
      </w:pPr>
      <w:r w:rsidRPr="00AB186E">
        <w:rPr>
          <w:rFonts w:ascii="Times New Roman" w:hAnsi="Times New Roman" w:cs="Times New Roman"/>
          <w:sz w:val="22"/>
          <w:szCs w:val="22"/>
        </w:rPr>
        <w:t>Les pays d'une même région comme l'Union Européenne ou l’Amérique du Nord sont très regroupés, montrant des profils de santé assez homogènes. Au contraire, les pays d’Asie sont fortement dispersés sur le graphique, révélant une grande diversité de situations sanitaires au sein du continent.</w:t>
      </w:r>
    </w:p>
    <w:p w14:paraId="5141FEC7" w14:textId="1607C413" w:rsidR="00DC4D71" w:rsidRDefault="00AB186E" w:rsidP="00AB186E">
      <w:pPr>
        <w:jc w:val="both"/>
        <w:rPr>
          <w:rFonts w:ascii="Times New Roman" w:hAnsi="Times New Roman" w:cs="Times New Roman"/>
          <w:sz w:val="22"/>
          <w:szCs w:val="22"/>
        </w:rPr>
      </w:pPr>
      <w:r w:rsidRPr="00AB186E">
        <w:rPr>
          <w:rFonts w:ascii="Times New Roman" w:hAnsi="Times New Roman" w:cs="Times New Roman"/>
          <w:sz w:val="22"/>
          <w:szCs w:val="22"/>
        </w:rPr>
        <w:t>Ainsi, l’Asie apparaît comme la région la plus hétérogène en termes de profil de santé.</w:t>
      </w:r>
    </w:p>
    <w:p w14:paraId="1BAF7427" w14:textId="77777777" w:rsidR="00AB186E" w:rsidRDefault="00AB186E" w:rsidP="00AB186E">
      <w:pPr>
        <w:jc w:val="both"/>
        <w:rPr>
          <w:rFonts w:ascii="Times New Roman" w:hAnsi="Times New Roman" w:cs="Times New Roman"/>
          <w:sz w:val="22"/>
          <w:szCs w:val="22"/>
        </w:rPr>
      </w:pPr>
    </w:p>
    <w:p w14:paraId="18507B8F" w14:textId="77777777" w:rsidR="006C27AB" w:rsidRDefault="00AB186E" w:rsidP="00AB186E">
      <w:pPr>
        <w:jc w:val="both"/>
        <w:rPr>
          <w:rFonts w:ascii="Times New Roman" w:hAnsi="Times New Roman" w:cs="Times New Roman"/>
          <w:b/>
          <w:bCs/>
          <w:sz w:val="22"/>
          <w:szCs w:val="22"/>
        </w:rPr>
      </w:pPr>
      <w:r w:rsidRPr="00AB186E">
        <w:rPr>
          <w:rFonts w:ascii="Times New Roman" w:hAnsi="Times New Roman" w:cs="Times New Roman"/>
          <w:b/>
          <w:bCs/>
          <w:sz w:val="22"/>
          <w:szCs w:val="22"/>
        </w:rPr>
        <w:t>Conclusion :</w:t>
      </w:r>
    </w:p>
    <w:p w14:paraId="63F3C29E" w14:textId="77777777" w:rsidR="006C27AB" w:rsidRPr="006C27AB" w:rsidRDefault="006C27AB" w:rsidP="006C27AB">
      <w:pPr>
        <w:jc w:val="both"/>
        <w:rPr>
          <w:rFonts w:ascii="Times New Roman" w:hAnsi="Times New Roman" w:cs="Times New Roman"/>
          <w:sz w:val="22"/>
          <w:szCs w:val="22"/>
        </w:rPr>
      </w:pPr>
      <w:r w:rsidRPr="006C27AB">
        <w:rPr>
          <w:rFonts w:ascii="Times New Roman" w:hAnsi="Times New Roman" w:cs="Times New Roman"/>
          <w:sz w:val="22"/>
          <w:szCs w:val="22"/>
        </w:rPr>
        <w:t xml:space="preserve">L’ACP montre une opposition claire entre pays développés et pays en développement.  </w:t>
      </w:r>
    </w:p>
    <w:p w14:paraId="0320BC29" w14:textId="287D79D5" w:rsidR="00AB186E" w:rsidRPr="006C27AB" w:rsidRDefault="006C27AB" w:rsidP="006C27AB">
      <w:pPr>
        <w:jc w:val="both"/>
        <w:rPr>
          <w:rFonts w:ascii="Times New Roman" w:hAnsi="Times New Roman" w:cs="Times New Roman"/>
          <w:sz w:val="22"/>
          <w:szCs w:val="22"/>
        </w:rPr>
      </w:pPr>
      <w:r w:rsidRPr="006C27AB">
        <w:rPr>
          <w:rFonts w:ascii="Times New Roman" w:hAnsi="Times New Roman" w:cs="Times New Roman"/>
          <w:sz w:val="22"/>
          <w:szCs w:val="22"/>
        </w:rPr>
        <w:t>À droite, les pays riches se distinguent par une espérance de vie, une éducation et un niveau économique élevés.  À gauche, les pays d’Afrique et d’Asie du Sud présentent une mortalité et une malnutrition plus fortes.  Le second axe différencie surtout les profils démographiques. Au final, l’analyse révèle un contraste net de développement et de santé selon les régions du monde.</w:t>
      </w:r>
      <w:r w:rsidR="00AB186E" w:rsidRPr="006C27AB">
        <w:rPr>
          <w:rFonts w:ascii="Times New Roman" w:hAnsi="Times New Roman" w:cs="Times New Roman"/>
          <w:sz w:val="22"/>
          <w:szCs w:val="22"/>
        </w:rPr>
        <w:t xml:space="preserve"> </w:t>
      </w:r>
    </w:p>
    <w:sectPr w:rsidR="00AB186E" w:rsidRPr="006C27AB">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9B63" w14:textId="77777777" w:rsidR="00C40580" w:rsidRDefault="00C40580" w:rsidP="00862D1C">
      <w:pPr>
        <w:spacing w:after="0" w:line="240" w:lineRule="auto"/>
      </w:pPr>
      <w:r>
        <w:separator/>
      </w:r>
    </w:p>
  </w:endnote>
  <w:endnote w:type="continuationSeparator" w:id="0">
    <w:p w14:paraId="263C6EF5" w14:textId="77777777" w:rsidR="00C40580" w:rsidRDefault="00C40580" w:rsidP="00862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15F0" w14:textId="77777777" w:rsidR="00862D1C" w:rsidRPr="00862D1C" w:rsidRDefault="00862D1C" w:rsidP="00862D1C">
    <w:pPr>
      <w:rPr>
        <w:rFonts w:ascii="Times New Roman" w:hAnsi="Times New Roman" w:cs="Times New Roman"/>
        <w:b/>
        <w:bCs/>
        <w:sz w:val="22"/>
        <w:szCs w:val="22"/>
        <w:lang w:val="en-GB"/>
      </w:rPr>
    </w:pPr>
  </w:p>
  <w:p w14:paraId="6E5A0EA8" w14:textId="77777777" w:rsidR="00862D1C" w:rsidRPr="00862D1C" w:rsidRDefault="00862D1C" w:rsidP="00862D1C">
    <w:pPr>
      <w:rPr>
        <w:rFonts w:ascii="Times New Roman" w:hAnsi="Times New Roman" w:cs="Times New Roman"/>
        <w:b/>
        <w:bCs/>
        <w:sz w:val="22"/>
        <w:szCs w:val="22"/>
        <w:lang w:val="en-GB"/>
      </w:rPr>
    </w:pPr>
  </w:p>
  <w:p w14:paraId="2F385BE0" w14:textId="77777777" w:rsidR="00862D1C" w:rsidRPr="00862D1C" w:rsidRDefault="00862D1C" w:rsidP="00862D1C">
    <w:pPr>
      <w:rPr>
        <w:rFonts w:ascii="Times New Roman" w:hAnsi="Times New Roman" w:cs="Times New Roman"/>
        <w:b/>
        <w:bCs/>
        <w:sz w:val="22"/>
        <w:szCs w:val="22"/>
        <w:lang w:val="en-GB"/>
      </w:rPr>
    </w:pPr>
  </w:p>
  <w:p w14:paraId="0D578062" w14:textId="1CCCA673" w:rsidR="00862D1C" w:rsidRPr="00862D1C" w:rsidRDefault="00862D1C" w:rsidP="00862D1C">
    <w:pPr>
      <w:rPr>
        <w:rFonts w:ascii="Times New Roman" w:hAnsi="Times New Roman" w:cs="Times New Roman"/>
        <w:b/>
        <w:bCs/>
        <w:sz w:val="22"/>
        <w:szCs w:val="22"/>
        <w:lang w:val="en-GB"/>
      </w:rPr>
    </w:pPr>
    <w:r w:rsidRPr="00862D1C">
      <w:rPr>
        <w:rFonts w:ascii="Times New Roman" w:hAnsi="Times New Roman" w:cs="Times New Roman"/>
        <w:b/>
        <w:bCs/>
        <w:sz w:val="22"/>
        <w:szCs w:val="22"/>
        <w:lang w:val="en-GB"/>
      </w:rPr>
      <w:t>Zara Zulfiqar</w:t>
    </w:r>
    <w:r w:rsidRPr="00862D1C">
      <w:rPr>
        <w:rFonts w:ascii="Times New Roman" w:hAnsi="Times New Roman" w:cs="Times New Roman"/>
        <w:b/>
        <w:bCs/>
        <w:sz w:val="22"/>
        <w:szCs w:val="22"/>
        <w:lang w:val="en-GB"/>
      </w:rPr>
      <w:tab/>
    </w:r>
    <w:r w:rsidRPr="00862D1C">
      <w:rPr>
        <w:rFonts w:ascii="Times New Roman" w:hAnsi="Times New Roman" w:cs="Times New Roman"/>
        <w:b/>
        <w:bCs/>
        <w:sz w:val="22"/>
        <w:szCs w:val="22"/>
        <w:lang w:val="en-GB"/>
      </w:rPr>
      <w:tab/>
    </w:r>
    <w:r w:rsidRPr="00862D1C">
      <w:rPr>
        <w:rFonts w:ascii="Times New Roman" w:hAnsi="Times New Roman" w:cs="Times New Roman"/>
        <w:b/>
        <w:bCs/>
        <w:sz w:val="22"/>
        <w:szCs w:val="22"/>
        <w:lang w:val="en-GB"/>
      </w:rPr>
      <w:tab/>
    </w:r>
    <w:r>
      <w:rPr>
        <w:rFonts w:ascii="Times New Roman" w:hAnsi="Times New Roman" w:cs="Times New Roman"/>
        <w:b/>
        <w:bCs/>
        <w:sz w:val="22"/>
        <w:szCs w:val="22"/>
        <w:lang w:val="en-GB"/>
      </w:rPr>
      <w:t xml:space="preserve">             </w:t>
    </w:r>
    <w:r w:rsidRPr="00862D1C">
      <w:rPr>
        <w:rFonts w:ascii="Times New Roman" w:hAnsi="Times New Roman" w:cs="Times New Roman"/>
        <w:b/>
        <w:bCs/>
        <w:sz w:val="22"/>
        <w:szCs w:val="22"/>
        <w:lang w:val="en-GB"/>
      </w:rPr>
      <w:t>Master 1 MLSD</w:t>
    </w:r>
    <w:r>
      <w:rPr>
        <w:rFonts w:ascii="Times New Roman" w:hAnsi="Times New Roman" w:cs="Times New Roman"/>
        <w:b/>
        <w:bCs/>
        <w:sz w:val="22"/>
        <w:szCs w:val="22"/>
        <w:lang w:val="en-GB"/>
      </w:rPr>
      <w:t xml:space="preserve">                                                    </w:t>
    </w:r>
    <w:r w:rsidRPr="00862D1C">
      <w:rPr>
        <w:rFonts w:ascii="Times New Roman" w:hAnsi="Times New Roman" w:cs="Times New Roman"/>
        <w:b/>
        <w:bCs/>
        <w:sz w:val="22"/>
        <w:szCs w:val="22"/>
        <w:lang w:val="en-GB"/>
      </w:rPr>
      <w:t>2025-2</w:t>
    </w:r>
    <w:r>
      <w:rPr>
        <w:rFonts w:ascii="Times New Roman" w:hAnsi="Times New Roman" w:cs="Times New Roman"/>
        <w:b/>
        <w:bCs/>
        <w:sz w:val="22"/>
        <w:szCs w:val="22"/>
        <w:lang w:val="en-GB"/>
      </w:rPr>
      <w:t>026</w:t>
    </w:r>
  </w:p>
  <w:p w14:paraId="3FD6BFC0" w14:textId="678530F2" w:rsidR="00862D1C" w:rsidRPr="00862D1C" w:rsidRDefault="00862D1C">
    <w:pPr>
      <w:pStyle w:val="Pieddepage"/>
      <w:rPr>
        <w:rFonts w:ascii="Times New Roman" w:hAnsi="Times New Roman" w:cs="Times New Roman"/>
        <w:sz w:val="22"/>
        <w:szCs w:val="22"/>
      </w:rPr>
    </w:pPr>
    <w:r w:rsidRPr="00862D1C">
      <w:rPr>
        <w:rFonts w:ascii="Times New Roman" w:hAnsi="Times New Roman" w:cs="Times New Roman"/>
        <w:sz w:val="22"/>
        <w:szCs w:val="22"/>
      </w:rPr>
      <w:ptab w:relativeTo="margin" w:alignment="center" w:leader="none"/>
    </w:r>
    <w:r w:rsidRPr="00862D1C">
      <w:rPr>
        <w:rFonts w:ascii="Times New Roman" w:hAnsi="Times New Roman" w:cs="Times New Roman"/>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6CD3" w14:textId="77777777" w:rsidR="00C40580" w:rsidRDefault="00C40580" w:rsidP="00862D1C">
      <w:pPr>
        <w:spacing w:after="0" w:line="240" w:lineRule="auto"/>
      </w:pPr>
      <w:r>
        <w:separator/>
      </w:r>
    </w:p>
  </w:footnote>
  <w:footnote w:type="continuationSeparator" w:id="0">
    <w:p w14:paraId="731DFA5C" w14:textId="77777777" w:rsidR="00C40580" w:rsidRDefault="00C40580" w:rsidP="00862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219"/>
    <w:multiLevelType w:val="hybridMultilevel"/>
    <w:tmpl w:val="DEF2ABD0"/>
    <w:lvl w:ilvl="0" w:tplc="679086C6">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9052BA"/>
    <w:multiLevelType w:val="hybridMultilevel"/>
    <w:tmpl w:val="93BC1290"/>
    <w:lvl w:ilvl="0" w:tplc="AFEA3988">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419660F"/>
    <w:multiLevelType w:val="hybridMultilevel"/>
    <w:tmpl w:val="E7CABA94"/>
    <w:lvl w:ilvl="0" w:tplc="C91E2774">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1150F69"/>
    <w:multiLevelType w:val="multilevel"/>
    <w:tmpl w:val="A79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7D5C54"/>
    <w:multiLevelType w:val="multilevel"/>
    <w:tmpl w:val="BB32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100340">
    <w:abstractNumId w:val="2"/>
  </w:num>
  <w:num w:numId="2" w16cid:durableId="1065841209">
    <w:abstractNumId w:val="0"/>
  </w:num>
  <w:num w:numId="3" w16cid:durableId="1678799858">
    <w:abstractNumId w:val="1"/>
  </w:num>
  <w:num w:numId="4" w16cid:durableId="2109427380">
    <w:abstractNumId w:val="3"/>
  </w:num>
  <w:num w:numId="5" w16cid:durableId="1104765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1C"/>
    <w:rsid w:val="001D38D9"/>
    <w:rsid w:val="0024608F"/>
    <w:rsid w:val="002B51D9"/>
    <w:rsid w:val="0034493D"/>
    <w:rsid w:val="003F1452"/>
    <w:rsid w:val="004342B2"/>
    <w:rsid w:val="004707DC"/>
    <w:rsid w:val="004D05C0"/>
    <w:rsid w:val="0058047D"/>
    <w:rsid w:val="00616820"/>
    <w:rsid w:val="006B2A6E"/>
    <w:rsid w:val="006C27AB"/>
    <w:rsid w:val="006C5F60"/>
    <w:rsid w:val="00742AB8"/>
    <w:rsid w:val="00793EA3"/>
    <w:rsid w:val="0079507B"/>
    <w:rsid w:val="007A3429"/>
    <w:rsid w:val="0081269D"/>
    <w:rsid w:val="0084699A"/>
    <w:rsid w:val="00862D1C"/>
    <w:rsid w:val="008A2302"/>
    <w:rsid w:val="00A559D3"/>
    <w:rsid w:val="00AB186E"/>
    <w:rsid w:val="00AF40C1"/>
    <w:rsid w:val="00B04A96"/>
    <w:rsid w:val="00BA704E"/>
    <w:rsid w:val="00BB568C"/>
    <w:rsid w:val="00BD7C16"/>
    <w:rsid w:val="00C40580"/>
    <w:rsid w:val="00DC4D71"/>
    <w:rsid w:val="00E93F99"/>
    <w:rsid w:val="00F8498D"/>
    <w:rsid w:val="00F942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E983"/>
  <w15:chartTrackingRefBased/>
  <w15:docId w15:val="{DF473FC1-20AA-4264-B36B-B51550DC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6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2D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D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D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D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D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D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D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2D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62D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2D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D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D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D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D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D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D1C"/>
    <w:rPr>
      <w:rFonts w:eastAsiaTheme="majorEastAsia" w:cstheme="majorBidi"/>
      <w:color w:val="272727" w:themeColor="text1" w:themeTint="D8"/>
    </w:rPr>
  </w:style>
  <w:style w:type="paragraph" w:styleId="Titre">
    <w:name w:val="Title"/>
    <w:basedOn w:val="Normal"/>
    <w:next w:val="Normal"/>
    <w:link w:val="TitreCar"/>
    <w:uiPriority w:val="10"/>
    <w:qFormat/>
    <w:rsid w:val="0086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D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D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D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D1C"/>
    <w:pPr>
      <w:spacing w:before="160"/>
      <w:jc w:val="center"/>
    </w:pPr>
    <w:rPr>
      <w:i/>
      <w:iCs/>
      <w:color w:val="404040" w:themeColor="text1" w:themeTint="BF"/>
    </w:rPr>
  </w:style>
  <w:style w:type="character" w:customStyle="1" w:styleId="CitationCar">
    <w:name w:val="Citation Car"/>
    <w:basedOn w:val="Policepardfaut"/>
    <w:link w:val="Citation"/>
    <w:uiPriority w:val="29"/>
    <w:rsid w:val="00862D1C"/>
    <w:rPr>
      <w:i/>
      <w:iCs/>
      <w:color w:val="404040" w:themeColor="text1" w:themeTint="BF"/>
    </w:rPr>
  </w:style>
  <w:style w:type="paragraph" w:styleId="Paragraphedeliste">
    <w:name w:val="List Paragraph"/>
    <w:basedOn w:val="Normal"/>
    <w:uiPriority w:val="34"/>
    <w:qFormat/>
    <w:rsid w:val="00862D1C"/>
    <w:pPr>
      <w:ind w:left="720"/>
      <w:contextualSpacing/>
    </w:pPr>
  </w:style>
  <w:style w:type="character" w:styleId="Accentuationintense">
    <w:name w:val="Intense Emphasis"/>
    <w:basedOn w:val="Policepardfaut"/>
    <w:uiPriority w:val="21"/>
    <w:qFormat/>
    <w:rsid w:val="00862D1C"/>
    <w:rPr>
      <w:i/>
      <w:iCs/>
      <w:color w:val="0F4761" w:themeColor="accent1" w:themeShade="BF"/>
    </w:rPr>
  </w:style>
  <w:style w:type="paragraph" w:styleId="Citationintense">
    <w:name w:val="Intense Quote"/>
    <w:basedOn w:val="Normal"/>
    <w:next w:val="Normal"/>
    <w:link w:val="CitationintenseCar"/>
    <w:uiPriority w:val="30"/>
    <w:qFormat/>
    <w:rsid w:val="00862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D1C"/>
    <w:rPr>
      <w:i/>
      <w:iCs/>
      <w:color w:val="0F4761" w:themeColor="accent1" w:themeShade="BF"/>
    </w:rPr>
  </w:style>
  <w:style w:type="character" w:styleId="Rfrenceintense">
    <w:name w:val="Intense Reference"/>
    <w:basedOn w:val="Policepardfaut"/>
    <w:uiPriority w:val="32"/>
    <w:qFormat/>
    <w:rsid w:val="00862D1C"/>
    <w:rPr>
      <w:b/>
      <w:bCs/>
      <w:smallCaps/>
      <w:color w:val="0F4761" w:themeColor="accent1" w:themeShade="BF"/>
      <w:spacing w:val="5"/>
    </w:rPr>
  </w:style>
  <w:style w:type="paragraph" w:styleId="En-tte">
    <w:name w:val="header"/>
    <w:basedOn w:val="Normal"/>
    <w:link w:val="En-tteCar"/>
    <w:uiPriority w:val="99"/>
    <w:unhideWhenUsed/>
    <w:rsid w:val="00862D1C"/>
    <w:pPr>
      <w:tabs>
        <w:tab w:val="center" w:pos="4536"/>
        <w:tab w:val="right" w:pos="9072"/>
      </w:tabs>
      <w:spacing w:after="0" w:line="240" w:lineRule="auto"/>
    </w:pPr>
  </w:style>
  <w:style w:type="character" w:customStyle="1" w:styleId="En-tteCar">
    <w:name w:val="En-tête Car"/>
    <w:basedOn w:val="Policepardfaut"/>
    <w:link w:val="En-tte"/>
    <w:uiPriority w:val="99"/>
    <w:rsid w:val="00862D1C"/>
  </w:style>
  <w:style w:type="paragraph" w:styleId="Pieddepage">
    <w:name w:val="footer"/>
    <w:basedOn w:val="Normal"/>
    <w:link w:val="PieddepageCar"/>
    <w:uiPriority w:val="99"/>
    <w:unhideWhenUsed/>
    <w:rsid w:val="00862D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2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6</Pages>
  <Words>1359</Words>
  <Characters>7476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Chaudhry Zara ZULFIQAR</dc:creator>
  <cp:keywords/>
  <dc:description/>
  <cp:lastModifiedBy>Chaudhry Zara ZULFIQAR</cp:lastModifiedBy>
  <cp:revision>8</cp:revision>
  <dcterms:created xsi:type="dcterms:W3CDTF">2025-10-27T21:10:00Z</dcterms:created>
  <dcterms:modified xsi:type="dcterms:W3CDTF">2025-10-28T22:31:00Z</dcterms:modified>
</cp:coreProperties>
</file>