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32"/>
          <w:szCs w:val="32"/>
        </w:rPr>
        <w:t xml:space="preserve">MSIN0097 Predictive Analytics</w:t>
      </w:r>
    </w:p>
    <w:p>
      <w:pPr>
        <w:spacing w:after="60" w:before="0"/>
      </w:pPr>
      <w:r>
        <w:rPr>
          <w:rFonts w:ascii="Arial" w:cs="Arial" w:eastAsia="Arial" w:hAnsi="Arial"/>
          <w:color w:val="555555"/>
          <w:sz w:val="22"/>
          <w:szCs w:val="22"/>
        </w:rPr>
        <w:t xml:space="preserve">Summative Coursework — Examiner's Marking Report</w:t>
      </w:r>
    </w:p>
    <w:p>
      <w:pPr>
        <w:spacing w:after="180" w:before="0"/>
      </w:pPr>
      <w:r>
        <w:rPr>
          <w:rFonts w:ascii="Arial" w:cs="Arial" w:eastAsia="Arial" w:hAnsi="Arial"/>
          <w:i/>
          <w:iCs/>
          <w:color w:val="777777"/>
          <w:sz w:val="18"/>
          <w:szCs w:val="18"/>
        </w:rPr>
        <w:t xml:space="preserve">Submission: VIX Volatility Regime Forecasting  |  Files: analysis_v3.ipynb + Predictive_Analytics_report.docx</w:t>
      </w:r>
    </w:p>
    <w:p>
      <w:pPr>
        <w:pBdr>
          <w:bottom w:val="single" w:color="1F3864" w:sz="10"/>
        </w:pBdr>
        <w:spacing w:after="160" w:before="140"/>
      </w:pPr>
    </w:p>
    <w:p>
      <w:pPr>
        <w:pStyle w:val="Heading1"/>
        <w:spacing w:after="120" w:before="360"/>
      </w:pPr>
      <w:r>
        <w:rPr>
          <w:rFonts w:ascii="Arial" w:cs="Arial" w:eastAsia="Arial" w:hAnsi="Arial"/>
          <w:b/>
          <w:bCs/>
          <w:color w:val="1F3864"/>
          <w:sz w:val="28"/>
          <w:szCs w:val="28"/>
        </w:rPr>
        <w:t xml:space="preserve">1. Summary Scorecard</w:t>
      </w:r>
    </w:p>
    <w:p>
      <w:pPr>
        <w:spacing w:after="80" w:before="60"/>
      </w:pPr>
      <w:r>
        <w:rPr>
          <w:rFonts w:ascii="Arial" w:cs="Arial" w:eastAsia="Arial" w:hAnsi="Arial"/>
          <w:sz w:val="20"/>
          <w:szCs w:val="20"/>
        </w:rPr>
        <w:t xml:space="preserve">All five dimensions are scored out of 20. No word-count penalty is applied — the report main body is approximately 2,100 words, within the stated 2,000–2,200 limit.</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760"/>
        <w:gridCol w:w="760"/>
        <w:gridCol w:w="4340"/>
      </w:tblGrid>
      <w:tr>
        <w:trPr>
          <w:tblHeader/>
        </w:trPr>
        <w:tc>
          <w:tcPr>
            <w:tcW w:type="dxa" w:w="350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7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Max</w:t>
            </w:r>
          </w:p>
        </w:tc>
        <w:tc>
          <w:tcPr>
            <w:tcW w:type="dxa" w:w="434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Key finding</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§1  Problem Framing &amp; EDA</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3864"/>
                <w:sz w:val="20"/>
                <w:szCs w:val="20"/>
              </w:rPr>
              <w:t xml:space="preserve">17</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w:t>
            </w:r>
          </w:p>
        </w:tc>
        <w:tc>
          <w:tcPr>
            <w:tcW w:type="dxa" w:w="4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Strong framing; expected-F1 derivation attempted but analytically incorrect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  Data Preparation &amp; Features</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18</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 features correctly named and described; split and scaler rigorous</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§3  Modelling &amp; Tuning</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3864"/>
                <w:sz w:val="20"/>
                <w:szCs w:val="20"/>
              </w:rPr>
              <w:t xml:space="preserve">17</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w:t>
            </w:r>
          </w:p>
        </w:tc>
        <w:tc>
          <w:tcPr>
            <w:tcW w:type="dxa" w:w="4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Val-set grid searches correctly implemented; sklearn MLP asymmetry unacknowledged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Evaluation &amp; Interpretation</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3864"/>
                <w:sz w:val="20"/>
                <w:szCs w:val="20"/>
              </w:rPr>
              <w:t xml:space="preserve">17</w:t>
            </w:r>
          </w:p>
        </w:tc>
        <w:tc>
          <w:tcPr>
            <w:tcW w:type="dxa" w:w="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4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McNemar correctly elevated; per-class reporting is selective; no causal reasoning</w:t>
            </w:r>
          </w:p>
        </w:tc>
      </w:tr>
      <w:tr>
        <w:tc>
          <w:tcPr>
            <w:tcW w:type="dxa" w:w="3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§5  Code Quality &amp; Reproducibility</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b/>
                <w:bCs/>
                <w:color w:val="1F3864"/>
                <w:sz w:val="20"/>
                <w:szCs w:val="20"/>
              </w:rPr>
              <w:t xml:space="preserve">14</w:t>
            </w:r>
          </w:p>
        </w:tc>
        <w:tc>
          <w:tcPr>
            <w:tcW w:type="dxa" w:w="7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20</w:t>
            </w:r>
          </w:p>
        </w:tc>
        <w:tc>
          <w:tcPr>
            <w:tcW w:type="dxa" w:w="434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r>
              <w:rPr>
                <w:rFonts w:ascii="Arial" w:cs="Arial" w:eastAsia="Arial" w:hAnsi="Arial"/>
                <w:sz w:val="20"/>
                <w:szCs w:val="20"/>
              </w:rPr>
              <w:t xml:space="preserve">README references wrong notebook; Cell 22 model count wrong</w:t>
            </w:r>
          </w:p>
        </w:tc>
      </w:tr>
      <w:tr>
        <w:tc>
          <w:tcPr>
            <w:tcW w:type="dxa" w:w="350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TOTAL — no word-count penalty applied</w:t>
            </w:r>
          </w:p>
        </w:tc>
        <w:tc>
          <w:tcPr>
            <w:tcW w:type="dxa" w:w="76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83</w:t>
            </w:r>
          </w:p>
        </w:tc>
        <w:tc>
          <w:tcPr>
            <w:tcW w:type="dxa" w:w="76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100</w:t>
            </w:r>
          </w:p>
        </w:tc>
        <w:tc>
          <w:tcPr>
            <w:tcW w:type="dxa" w:w="4340"/>
            <w:tcBorders>
              <w:top w:val="single" w:color="1F3864" w:sz="4"/>
              <w:left w:val="single" w:color="1F3864" w:sz="4"/>
              <w:bottom w:val="single" w:color="1F3864" w:sz="4"/>
              <w:right w:val="single" w:color="1F3864" w:sz="4"/>
            </w:tcBorders>
            <w:shd w:fill="D6E4F0" w:val="clear"/>
            <w:tcMar>
              <w:top w:type="dxa" w:w="80"/>
              <w:left w:type="dxa" w:w="120"/>
              <w:bottom w:type="dxa" w:w="80"/>
              <w:right w:type="dxa" w:w="120"/>
            </w:tcMar>
          </w:tcPr>
          <w:p>
            <w:r>
              <w:rPr>
                <w:rFonts w:ascii="Arial" w:cs="Arial" w:eastAsia="Arial" w:hAnsi="Arial"/>
                <w:b/>
                <w:bCs/>
                <w:color w:val="1F3864"/>
                <w:sz w:val="20"/>
                <w:szCs w:val="20"/>
              </w:rPr>
              <w:t xml:space="preserve">High B+ / borderline A–</w:t>
            </w:r>
          </w:p>
        </w:tc>
      </w:tr>
    </w:tbl>
    <w:p>
      <w:pPr>
        <w:spacing w:after="60" w:before="120"/>
      </w:pPr>
    </w:p>
    <w:p>
      <w:pPr>
        <w:spacing w:after="80" w:before="60"/>
      </w:pPr>
      <w:r>
        <w:rPr>
          <w:rFonts w:ascii="Arial" w:cs="Arial" w:eastAsia="Arial" w:hAnsi="Arial"/>
          <w:b/>
          <w:bCs/>
          <w:sz w:val="20"/>
          <w:szCs w:val="20"/>
        </w:rPr>
        <w:t xml:space="preserve">Grade boundary note: </w:t>
      </w:r>
      <w:r>
        <w:rPr>
          <w:rFonts w:ascii="Arial" w:cs="Arial" w:eastAsia="Arial" w:hAnsi="Arial"/>
          <w:sz w:val="20"/>
          <w:szCs w:val="20"/>
        </w:rPr>
        <w:t xml:space="preserve">The work sits at the upper end of B+. The conclusion is now logically coherent, all numerical claims correspond to the notebook, and the feature set is described accurately. To cross into A-range the student must correct the expected macro F1 calculation, report the full per-class LR trade-off, and replace post-hoc result description with causal model-selection argument.</w:t>
      </w:r>
    </w:p>
    <w:p>
      <w:pPr>
        <w:pBdr>
          <w:bottom w:val="single" w:color="CCCCCC" w:sz="4"/>
        </w:pBdr>
        <w:spacing w:after="160" w:before="140"/>
      </w:pPr>
    </w:p>
    <w:p>
      <w:pPr>
        <w:pStyle w:val="Heading1"/>
        <w:spacing w:after="120" w:before="360"/>
      </w:pPr>
      <w:r>
        <w:rPr>
          <w:rFonts w:ascii="Arial" w:cs="Arial" w:eastAsia="Arial" w:hAnsi="Arial"/>
          <w:b/>
          <w:bCs/>
          <w:color w:val="1F3864"/>
          <w:sz w:val="28"/>
          <w:szCs w:val="28"/>
        </w:rPr>
        <w:t xml:space="preserve">2. Critical Errors — Must Be Corrected</w:t>
      </w:r>
    </w:p>
    <w:p>
      <w:pPr>
        <w:spacing w:after="80" w:before="60"/>
      </w:pPr>
      <w:r>
        <w:rPr>
          <w:rFonts w:ascii="Arial" w:cs="Arial" w:eastAsia="Arial" w:hAnsi="Arial"/>
          <w:sz w:val="20"/>
          <w:szCs w:val="20"/>
        </w:rPr>
        <w:t xml:space="preserve">These are factual or logical errors in the submitted report. They are not stylistic preferences.</w:t>
      </w:r>
    </w:p>
    <w:p>
      <w:pPr>
        <w:spacing w:after="60" w:before="60"/>
      </w:pPr>
    </w:p>
    <w:p>
      <w:pPr>
        <w:pStyle w:val="Heading2"/>
        <w:spacing w:after="80" w:before="260"/>
      </w:pPr>
      <w:r>
        <w:rPr>
          <w:rFonts w:ascii="Arial" w:cs="Arial" w:eastAsia="Arial" w:hAnsi="Arial"/>
          <w:b/>
          <w:bCs/>
          <w:color w:val="2E4A7A"/>
          <w:sz w:val="24"/>
          <w:szCs w:val="24"/>
        </w:rPr>
        <w:t xml:space="preserve">2a.  Expected persistence macro F1 — wrong metric derived (§2, EDA)</w:t>
      </w:r>
    </w:p>
    <w:p>
      <w:pPr>
        <w:spacing w:after="80" w:before="60"/>
      </w:pPr>
      <w:r>
        <w:rPr>
          <w:rFonts w:ascii="Arial" w:cs="Arial" w:eastAsia="Arial" w:hAnsi="Arial"/>
          <w:sz w:val="20"/>
          <w:szCs w:val="20"/>
        </w:rPr>
        <w:t xml:space="preserve">The report states:</w:t>
      </w:r>
    </w:p>
    <w:p>
      <w:pPr>
        <w:spacing w:after="60" w:before="60"/>
        <w:ind w:left="720"/>
      </w:pPr>
      <w:r>
        <w:rPr>
          <w:rFonts w:ascii="Arial" w:cs="Arial" w:eastAsia="Arial" w:hAnsi="Arial"/>
          <w:i/>
          <w:iCs/>
          <w:sz w:val="20"/>
          <w:szCs w:val="20"/>
        </w:rPr>
        <w:t xml:space="preserve">"Weighting the diagonal persistence rates by class frequency yields an expected macro F1 of roughly 0.91."</w:t>
      </w:r>
    </w:p>
    <w:p>
      <w:pPr>
        <w:spacing w:after="80" w:before="60"/>
      </w:pPr>
      <w:r>
        <w:rPr>
          <w:rFonts w:ascii="Arial" w:cs="Arial" w:eastAsia="Arial" w:hAnsi="Arial"/>
          <w:sz w:val="20"/>
          <w:szCs w:val="20"/>
        </w:rPr>
        <w:t xml:space="preserve">This is incorrect. The formula applied is:</w:t>
      </w:r>
    </w:p>
    <w:p>
      <w:pPr>
        <w:spacing w:after="60" w:before="60"/>
        <w:ind w:left="720"/>
      </w:pPr>
      <w:r>
        <w:rPr>
          <w:rFonts w:ascii="Courier New" w:cs="Courier New" w:eastAsia="Courier New" w:hAnsi="Courier New"/>
          <w:color w:val="8B0000"/>
          <w:sz w:val="18"/>
          <w:szCs w:val="18"/>
        </w:rPr>
        <w:t xml:space="preserve">0.32 × 0.927 + 0.50 × 0.917 + 0.17 × 0.897 = 0.908</w:t>
      </w:r>
    </w:p>
    <w:p>
      <w:pPr>
        <w:spacing w:after="80" w:before="60"/>
      </w:pPr>
      <w:r>
        <w:rPr>
          <w:rFonts w:ascii="Arial" w:cs="Arial" w:eastAsia="Arial" w:hAnsi="Arial"/>
          <w:sz w:val="20"/>
          <w:szCs w:val="20"/>
        </w:rPr>
        <w:t xml:space="preserve">This is a frequency-weighted average of transition-matrix diagonal entries — which approximates </w:t>
      </w:r>
      <w:r>
        <w:rPr>
          <w:rFonts w:ascii="Arial" w:cs="Arial" w:eastAsia="Arial" w:hAnsi="Arial"/>
          <w:b/>
          <w:bCs/>
          <w:sz w:val="20"/>
          <w:szCs w:val="20"/>
        </w:rPr>
        <w:t xml:space="preserve">accuracy</w:t>
      </w:r>
      <w:r>
        <w:rPr>
          <w:rFonts w:ascii="Arial" w:cs="Arial" w:eastAsia="Arial" w:hAnsi="Arial"/>
          <w:sz w:val="20"/>
          <w:szCs w:val="20"/>
        </w:rPr>
        <w:t xml:space="preserve">, not macro F1. The actual persistence accuracy from the notebook (Cell 21) is 0.9056, confirming the formula produces an accuracy estimate. Macro F1 is the </w:t>
      </w:r>
      <w:r>
        <w:rPr>
          <w:rFonts w:ascii="Arial" w:cs="Arial" w:eastAsia="Arial" w:hAnsi="Arial"/>
          <w:b/>
          <w:bCs/>
          <w:sz w:val="20"/>
          <w:szCs w:val="20"/>
        </w:rPr>
        <w:t xml:space="preserve">unweighted mean of per-class F1 scores</w:t>
      </w:r>
      <w:r>
        <w:rPr>
          <w:rFonts w:ascii="Arial" w:cs="Arial" w:eastAsia="Arial" w:hAnsi="Arial"/>
          <w:sz w:val="20"/>
          <w:szCs w:val="20"/>
        </w:rPr>
        <w:t xml:space="preserve">: (0.8860 + 0.9286 + 0.8251) / 3 = 0.8799, matching the notebook exactly.</w:t>
      </w:r>
    </w:p>
    <w:p>
      <w:pPr>
        <w:spacing w:after="80" w:before="60"/>
      </w:pPr>
      <w:r>
        <w:rPr>
          <w:rFonts w:ascii="Arial" w:cs="Arial" w:eastAsia="Arial" w:hAnsi="Arial"/>
          <w:sz w:val="20"/>
          <w:szCs w:val="20"/>
        </w:rPr>
        <w:t xml:space="preserve">This error is not a rounding issue — it conflates two metrics that the report itself distinguishes. The motivation for using macro F1 rather than accuracy was stated in §1: class imbalance makes accuracy misleading. Deriving an expected accuracy and labelling it expected macro F1 undermines that argument.</w:t>
      </w:r>
    </w:p>
    <w:p>
      <w:pPr>
        <w:spacing w:after="80" w:before="60"/>
      </w:pPr>
      <w:r>
        <w:rPr>
          <w:rFonts w:ascii="Arial" w:cs="Arial" w:eastAsia="Arial" w:hAnsi="Arial"/>
          <w:b/>
          <w:bCs/>
          <w:sz w:val="20"/>
          <w:szCs w:val="20"/>
        </w:rPr>
        <w:t xml:space="preserve">Required fix: </w:t>
      </w:r>
      <w:r>
        <w:rPr>
          <w:rFonts w:ascii="Arial" w:cs="Arial" w:eastAsia="Arial" w:hAnsi="Arial"/>
          <w:sz w:val="20"/>
          <w:szCs w:val="20"/>
        </w:rPr>
        <w:t xml:space="preserve">Either remove the approximation and state that the observed persistence macro F1 of 0.8799 is consistent with the transition matrix structure, or derive the approximation correctly. A correct approach: for each class, approximate per-class recall using the diagonal entry and per-class precision using the frequency-weighted denominator, compute per-class F1, then average unweighted across the three classes.</w:t>
      </w:r>
    </w:p>
    <w:p>
      <w:pPr>
        <w:spacing w:after="60" w:before="120"/>
      </w:pPr>
    </w:p>
    <w:p>
      <w:pPr>
        <w:pStyle w:val="Heading2"/>
        <w:spacing w:after="80" w:before="260"/>
      </w:pPr>
      <w:r>
        <w:rPr>
          <w:rFonts w:ascii="Arial" w:cs="Arial" w:eastAsia="Arial" w:hAnsi="Arial"/>
          <w:b/>
          <w:bCs/>
          <w:color w:val="2E4A7A"/>
          <w:sz w:val="24"/>
          <w:szCs w:val="24"/>
        </w:rPr>
        <w:t xml:space="preserve">2b.  Selective per-class reporting — LR underperforms persistence on Low regime (§5)</w:t>
      </w:r>
    </w:p>
    <w:p>
      <w:pPr>
        <w:spacing w:after="80" w:before="60"/>
      </w:pPr>
      <w:r>
        <w:rPr>
          <w:rFonts w:ascii="Arial" w:cs="Arial" w:eastAsia="Arial" w:hAnsi="Arial"/>
          <w:sz w:val="20"/>
          <w:szCs w:val="20"/>
        </w:rPr>
        <w:t xml:space="preserve">The report correctly notes that LR gains on the High regime (F1: 0.8251 → 0.8368 for persistence vs LR). It does not report that LR simultaneously loses ground on the Low regime. The full per-class comparison from Cell 31 is:</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rPr>
          <w:tblHeader/>
        </w:trPr>
        <w:tc>
          <w:tcPr>
            <w:tcW w:type="dxa" w:w="2200"/>
            <w:tcBorders>
              <w:top w:val="single" w:color="1F3864" w:sz="4"/>
              <w:left w:val="single" w:color="1F3864" w:sz="4"/>
              <w:bottom w:val="single" w:color="1F3864" w:sz="4"/>
              <w:right w:val="single" w:color="1F3864" w:sz="4"/>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1800"/>
            <w:tcBorders>
              <w:top w:val="single" w:color="1F3864" w:sz="4"/>
              <w:left w:val="single" w:color="1F3864" w:sz="4"/>
              <w:bottom w:val="single" w:color="1F3864" w:sz="4"/>
              <w:right w:val="single" w:color="1F3864" w:sz="4"/>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Persistence F1</w:t>
            </w:r>
          </w:p>
        </w:tc>
        <w:tc>
          <w:tcPr>
            <w:tcW w:type="dxa" w:w="1800"/>
            <w:tcBorders>
              <w:top w:val="single" w:color="1F3864" w:sz="4"/>
              <w:left w:val="single" w:color="1F3864" w:sz="4"/>
              <w:bottom w:val="single" w:color="1F3864" w:sz="4"/>
              <w:right w:val="single" w:color="1F3864" w:sz="4"/>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LR F1</w:t>
            </w:r>
          </w:p>
        </w:tc>
        <w:tc>
          <w:tcPr>
            <w:tcW w:type="dxa" w:w="3560"/>
            <w:tcBorders>
              <w:top w:val="single" w:color="1F3864" w:sz="4"/>
              <w:left w:val="single" w:color="1F3864" w:sz="4"/>
              <w:bottom w:val="single" w:color="1F3864" w:sz="4"/>
              <w:right w:val="single" w:color="1F3864" w:sz="4"/>
            </w:tcBorders>
            <w:shd w:fill="2E4A7A"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Low</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0.8860</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0.8794</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392B"/>
                <w:sz w:val="20"/>
                <w:szCs w:val="20"/>
              </w:rPr>
              <w:t xml:space="preserve">−0.0066</w:t>
            </w:r>
            <w:r>
              <w:rPr>
                <w:rFonts w:ascii="Arial" w:cs="Arial" w:eastAsia="Arial" w:hAnsi="Arial"/>
                <w:sz w:val="20"/>
                <w:szCs w:val="20"/>
              </w:rPr>
              <w:t xml:space="preserve">  (LR worse)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Medium</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0.9286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0.9300</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+0.0014</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High</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0.8251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0.8368</w:t>
            </w:r>
          </w:p>
        </w:tc>
        <w:tc>
          <w:tcPr>
            <w:tcW w:type="dxa" w:w="3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B1A"/>
                <w:sz w:val="20"/>
                <w:szCs w:val="20"/>
              </w:rPr>
              <w:t xml:space="preserve">+0.0117</w:t>
            </w:r>
            <w:r>
              <w:rPr>
                <w:rFonts w:ascii="Arial" w:cs="Arial" w:eastAsia="Arial" w:hAnsi="Arial"/>
                <w:sz w:val="20"/>
                <w:szCs w:val="20"/>
              </w:rPr>
              <w:t xml:space="preserve">  (LR better)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Macro avg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0.8799</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0.8821</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+0.0022</w:t>
            </w:r>
          </w:p>
        </w:tc>
      </w:tr>
    </w:tbl>
    <w:p>
      <w:pPr>
        <w:spacing w:after="60" w:before="80"/>
      </w:pPr>
    </w:p>
    <w:p>
      <w:pPr>
        <w:spacing w:after="80" w:before="60"/>
      </w:pPr>
      <w:r>
        <w:rPr>
          <w:rFonts w:ascii="Arial" w:cs="Arial" w:eastAsia="Arial" w:hAnsi="Arial"/>
          <w:sz w:val="20"/>
          <w:szCs w:val="20"/>
        </w:rPr>
        <w:t xml:space="preserve">LR does not uniformly improve on persistence — it trades Low-regime accuracy for High-regime accuracy. This trade-off is analytically interesting and should be discussed explicitly. The vix_vs_ma21 feature, which the report credits as the source of LR's High-regime gain, presumably also shifts some Low-regime predictions toward High. That mechanism is worth one sentence.</w:t>
      </w:r>
    </w:p>
    <w:p>
      <w:pPr>
        <w:spacing w:after="80" w:before="60"/>
      </w:pPr>
      <w:r>
        <w:rPr>
          <w:rFonts w:ascii="Arial" w:cs="Arial" w:eastAsia="Arial" w:hAnsi="Arial"/>
          <w:b/>
          <w:bCs/>
          <w:sz w:val="20"/>
          <w:szCs w:val="20"/>
        </w:rPr>
        <w:t xml:space="preserve">Required fix: </w:t>
      </w:r>
      <w:r>
        <w:rPr>
          <w:rFonts w:ascii="Arial" w:cs="Arial" w:eastAsia="Arial" w:hAnsi="Arial"/>
          <w:sz w:val="20"/>
          <w:szCs w:val="20"/>
        </w:rPr>
        <w:t xml:space="preserve">Report both changes and characterise the exchange as a trade-off. The omission of a negative result in a submission that correctly concludes LR is not the final model is inconsistent.</w:t>
      </w:r>
    </w:p>
    <w:p>
      <w:pPr>
        <w:spacing w:after="60" w:before="120"/>
      </w:pPr>
    </w:p>
    <w:p>
      <w:pPr>
        <w:pStyle w:val="Heading2"/>
        <w:spacing w:after="80" w:before="260"/>
      </w:pPr>
      <w:r>
        <w:rPr>
          <w:rFonts w:ascii="Arial" w:cs="Arial" w:eastAsia="Arial" w:hAnsi="Arial"/>
          <w:b/>
          <w:bCs/>
          <w:color w:val="2E4A7A"/>
          <w:sz w:val="24"/>
          <w:szCs w:val="24"/>
        </w:rPr>
        <w:t xml:space="preserve">2c.  README references the wrong notebook filename</w:t>
      </w:r>
    </w:p>
    <w:p>
      <w:pPr>
        <w:spacing w:after="80" w:before="60"/>
      </w:pPr>
      <w:r>
        <w:rPr>
          <w:rFonts w:ascii="Arial" w:cs="Arial" w:eastAsia="Arial" w:hAnsi="Arial"/>
          <w:sz w:val="20"/>
          <w:szCs w:val="20"/>
        </w:rPr>
        <w:t xml:space="preserve">The README.md contains two references to </w:t>
      </w:r>
      <w:r>
        <w:rPr>
          <w:rFonts w:ascii="Courier New" w:cs="Courier New" w:eastAsia="Courier New" w:hAnsi="Courier New"/>
          <w:color w:val="8B0000"/>
          <w:sz w:val="18"/>
          <w:szCs w:val="18"/>
        </w:rPr>
        <w:t xml:space="preserve">analysis_v2.ipynb</w:t>
      </w:r>
      <w:r>
        <w:rPr>
          <w:rFonts w:ascii="Arial" w:cs="Arial" w:eastAsia="Arial" w:hAnsi="Arial"/>
          <w:sz w:val="20"/>
          <w:szCs w:val="20"/>
        </w:rPr>
        <w:t xml:space="preserve">. The submitted notebook is </w:t>
      </w:r>
      <w:r>
        <w:rPr>
          <w:rFonts w:ascii="Courier New" w:cs="Courier New" w:eastAsia="Courier New" w:hAnsi="Courier New"/>
          <w:color w:val="8B0000"/>
          <w:sz w:val="18"/>
          <w:szCs w:val="18"/>
        </w:rPr>
        <w:t xml:space="preserve">analysis_v3.ipynb</w:t>
      </w:r>
      <w:r>
        <w:rPr>
          <w:rFonts w:ascii="Arial" w:cs="Arial" w:eastAsia="Arial" w:hAnsi="Arial"/>
          <w:sz w:val="20"/>
          <w:szCs w:val="20"/>
        </w:rPr>
        <w:t xml:space="preserve">. A reader following the README to reproduce results would open the wrong file. This is a submission error, not a presentational issue.</w:t>
      </w:r>
    </w:p>
    <w:p>
      <w:pPr>
        <w:spacing w:after="80" w:before="60"/>
      </w:pPr>
      <w:r>
        <w:rPr>
          <w:rFonts w:ascii="Arial" w:cs="Arial" w:eastAsia="Arial" w:hAnsi="Arial"/>
          <w:b/>
          <w:bCs/>
          <w:sz w:val="20"/>
          <w:szCs w:val="20"/>
        </w:rPr>
        <w:t xml:space="preserve">Required fix: </w:t>
      </w:r>
      <w:r>
        <w:rPr>
          <w:rFonts w:ascii="Arial" w:cs="Arial" w:eastAsia="Arial" w:hAnsi="Arial"/>
          <w:sz w:val="20"/>
          <w:szCs w:val="20"/>
        </w:rPr>
        <w:t xml:space="preserve">Replace both occurrences of </w:t>
      </w:r>
      <w:r>
        <w:rPr>
          <w:rFonts w:ascii="Courier New" w:cs="Courier New" w:eastAsia="Courier New" w:hAnsi="Courier New"/>
          <w:color w:val="8B0000"/>
          <w:sz w:val="18"/>
          <w:szCs w:val="18"/>
        </w:rPr>
        <w:t xml:space="preserve">analysis_v2.ipynb</w:t>
      </w:r>
      <w:r>
        <w:rPr>
          <w:rFonts w:ascii="Arial" w:cs="Arial" w:eastAsia="Arial" w:hAnsi="Arial"/>
          <w:sz w:val="20"/>
          <w:szCs w:val="20"/>
        </w:rPr>
        <w:t xml:space="preserve"> in README.md with </w:t>
      </w:r>
      <w:r>
        <w:rPr>
          <w:rFonts w:ascii="Courier New" w:cs="Courier New" w:eastAsia="Courier New" w:hAnsi="Courier New"/>
          <w:color w:val="8B0000"/>
          <w:sz w:val="18"/>
          <w:szCs w:val="18"/>
        </w:rPr>
        <w:t xml:space="preserve">analysis_v3.ipynb</w:t>
      </w:r>
      <w:r>
        <w:rPr>
          <w:rFonts w:ascii="Arial" w:cs="Arial" w:eastAsia="Arial" w:hAnsi="Arial"/>
          <w:sz w:val="20"/>
          <w:szCs w:val="20"/>
        </w:rPr>
        <w:t xml:space="preserve">.</w:t>
      </w:r>
    </w:p>
    <w:p>
      <w:pPr>
        <w:pBdr>
          <w:bottom w:val="single" w:color="CCCCCC" w:sz="4"/>
        </w:pBdr>
        <w:spacing w:after="160" w:before="140"/>
      </w:pPr>
    </w:p>
    <w:p>
      <w:pPr>
        <w:pStyle w:val="Heading1"/>
        <w:spacing w:after="120" w:before="360"/>
      </w:pPr>
      <w:r>
        <w:rPr>
          <w:rFonts w:ascii="Arial" w:cs="Arial" w:eastAsia="Arial" w:hAnsi="Arial"/>
          <w:b/>
          <w:bCs/>
          <w:color w:val="1F3864"/>
          <w:sz w:val="28"/>
          <w:szCs w:val="28"/>
        </w:rPr>
        <w:t xml:space="preserve">3. Significant Weaknesses — Preventing A-Range</w:t>
      </w:r>
    </w:p>
    <w:p>
      <w:pPr>
        <w:pStyle w:val="Heading2"/>
        <w:spacing w:after="80" w:before="260"/>
      </w:pPr>
      <w:r>
        <w:rPr>
          <w:rFonts w:ascii="Arial" w:cs="Arial" w:eastAsia="Arial" w:hAnsi="Arial"/>
          <w:b/>
          <w:bCs/>
          <w:color w:val="2E4A7A"/>
          <w:sz w:val="24"/>
          <w:szCs w:val="24"/>
        </w:rPr>
        <w:t xml:space="preserve">3a.  Model selection rationale is descriptive, not causal (§4)</w:t>
      </w:r>
    </w:p>
    <w:p>
      <w:pPr>
        <w:spacing w:after="80" w:before="60"/>
      </w:pPr>
      <w:r>
        <w:rPr>
          <w:rFonts w:ascii="Arial" w:cs="Arial" w:eastAsia="Arial" w:hAnsi="Arial"/>
          <w:sz w:val="20"/>
          <w:szCs w:val="20"/>
        </w:rPr>
        <w:t xml:space="preserve">The report explains that logistic regression performs best because 'the predictive structure is dominated by regime persistence and is therefore close to linear.' This is stated after the results table — it is a post-hoc rationalisation, not a causal argument. A-range work states structural reasons before presenting the evidence.</w:t>
      </w:r>
    </w:p>
    <w:p>
      <w:pPr>
        <w:spacing w:after="80" w:before="60"/>
      </w:pPr>
      <w:r>
        <w:rPr>
          <w:rFonts w:ascii="Arial" w:cs="Arial" w:eastAsia="Arial" w:hAnsi="Arial"/>
          <w:sz w:val="20"/>
          <w:szCs w:val="20"/>
        </w:rPr>
        <w:t xml:space="preserve">The following causal argument is supportable from first principles and from the EDA:</w:t>
      </w:r>
    </w:p>
    <w:p>
      <w:pPr>
        <w:pStyle w:val="ListParagraph"/>
        <w:numPr>
          <w:ilvl w:val="0"/>
          <w:numId w:val="2"/>
        </w:numPr>
        <w:spacing w:after="40" w:before="40"/>
      </w:pPr>
      <w:r>
        <w:rPr>
          <w:rFonts w:ascii="Arial" w:cs="Arial" w:eastAsia="Arial" w:hAnsi="Arial"/>
          <w:b/>
          <w:bCs/>
          <w:sz w:val="20"/>
          <w:szCs w:val="20"/>
        </w:rPr>
        <w:t xml:space="preserve">current_regime</w:t>
      </w:r>
      <w:r>
        <w:rPr>
          <w:rFonts w:ascii="Arial" w:cs="Arial" w:eastAsia="Arial" w:hAnsi="Arial"/>
          <w:sz w:val="20"/>
          <w:szCs w:val="20"/>
        </w:rPr>
        <w:t xml:space="preserve"> is the dominant predictor — it is an ordinal encoding of regime identity at time t, which from the transition matrix has 89–93% predictive overlap with the target. A regularised linear model with a single well-weighted coefficient on this variable is the natural minimum-description classifier. No additional flexibility is needed to represent this relationship.</w:t>
      </w:r>
    </w:p>
    <w:p>
      <w:pPr>
        <w:pStyle w:val="ListParagraph"/>
        <w:numPr>
          <w:ilvl w:val="0"/>
          <w:numId w:val="2"/>
        </w:numPr>
        <w:spacing w:after="40" w:before="40"/>
      </w:pPr>
      <w:r>
        <w:rPr>
          <w:rFonts w:ascii="Arial" w:cs="Arial" w:eastAsia="Arial" w:hAnsi="Arial"/>
          <w:sz w:val="20"/>
          <w:szCs w:val="20"/>
        </w:rPr>
        <w:t xml:space="preserve">The six lagged and rolling features are strongly collinear (correlation heatmap, §2). Collinearity </w:t>
      </w:r>
      <w:r>
        <w:rPr>
          <w:rFonts w:ascii="Arial" w:cs="Arial" w:eastAsia="Arial" w:hAnsi="Arial"/>
          <w:i/>
          <w:iCs/>
          <w:sz w:val="20"/>
          <w:szCs w:val="20"/>
        </w:rPr>
        <w:t xml:space="preserve">helps</w:t>
      </w:r>
      <w:r>
        <w:rPr>
          <w:rFonts w:ascii="Arial" w:cs="Arial" w:eastAsia="Arial" w:hAnsi="Arial"/>
          <w:sz w:val="20"/>
          <w:szCs w:val="20"/>
        </w:rPr>
        <w:t xml:space="preserve"> LR by reducing effective dimensionality, while exposing tree ensembles to unstable split choices. This effect is compounded by the non-stationarity of the series across 1990–2026: patterns learned from the GFC era may not generalise to the COVID/rate-hike era.</w:t>
      </w:r>
    </w:p>
    <w:p>
      <w:pPr>
        <w:pStyle w:val="ListParagraph"/>
        <w:numPr>
          <w:ilvl w:val="0"/>
          <w:numId w:val="2"/>
        </w:numPr>
        <w:spacing w:after="40" w:before="40"/>
      </w:pPr>
      <w:r>
        <w:rPr>
          <w:rFonts w:ascii="Arial" w:cs="Arial" w:eastAsia="Arial" w:hAnsi="Arial"/>
          <w:sz w:val="20"/>
          <w:szCs w:val="20"/>
        </w:rPr>
        <w:t xml:space="preserve">The PyTorch model uses early stopping on </w:t>
      </w:r>
      <w:r>
        <w:rPr>
          <w:rFonts w:ascii="Arial" w:cs="Arial" w:eastAsia="Arial" w:hAnsi="Arial"/>
          <w:b/>
          <w:bCs/>
          <w:sz w:val="20"/>
          <w:szCs w:val="20"/>
        </w:rPr>
        <w:t xml:space="preserve">validation macro F1</w:t>
      </w:r>
      <w:r>
        <w:rPr>
          <w:rFonts w:ascii="Arial" w:cs="Arial" w:eastAsia="Arial" w:hAnsi="Arial"/>
          <w:sz w:val="20"/>
          <w:szCs w:val="20"/>
        </w:rPr>
        <w:t xml:space="preserve"> rather than validation loss — a deliberate design choice that directly optimises the reported metric. The sklearn MLP, by contrast, uses the default early-stopping criterion (validation loss), which does not directly minimise macro F1 error. This difference likely explains part of the gap between the two neural models, not purely architecture.</w:t>
      </w:r>
    </w:p>
    <w:p>
      <w:pPr>
        <w:spacing w:after="80" w:before="60"/>
      </w:pPr>
      <w:r>
        <w:rPr>
          <w:rFonts w:ascii="Arial" w:cs="Arial" w:eastAsia="Arial" w:hAnsi="Arial"/>
          <w:sz w:val="20"/>
          <w:szCs w:val="20"/>
        </w:rPr>
        <w:t xml:space="preserve">State these reasons in §4 as the motivation for the model set, then let the results confirm or disconfirm them.</w:t>
      </w:r>
    </w:p>
    <w:p>
      <w:pPr>
        <w:spacing w:after="60" w:before="100"/>
      </w:pPr>
    </w:p>
    <w:p>
      <w:pPr>
        <w:pStyle w:val="Heading2"/>
        <w:spacing w:after="80" w:before="260"/>
      </w:pPr>
      <w:r>
        <w:rPr>
          <w:rFonts w:ascii="Arial" w:cs="Arial" w:eastAsia="Arial" w:hAnsi="Arial"/>
          <w:b/>
          <w:bCs/>
          <w:color w:val="2E4A7A"/>
          <w:sz w:val="24"/>
          <w:szCs w:val="24"/>
        </w:rPr>
        <w:t xml:space="preserve">3b.  sklearn MLP early-stopping asymmetry not acknowledged (§3 and §5)</w:t>
      </w:r>
    </w:p>
    <w:p>
      <w:pPr>
        <w:spacing w:after="80" w:before="60"/>
      </w:pPr>
      <w:r>
        <w:rPr>
          <w:rFonts w:ascii="Arial" w:cs="Arial" w:eastAsia="Arial" w:hAnsi="Arial"/>
          <w:sz w:val="20"/>
          <w:szCs w:val="20"/>
        </w:rPr>
        <w:t xml:space="preserve">Cell 25 trains the sklearn MLP with </w:t>
      </w:r>
      <w:r>
        <w:rPr>
          <w:rFonts w:ascii="Courier New" w:cs="Courier New" w:eastAsia="Courier New" w:hAnsi="Courier New"/>
          <w:color w:val="8B0000"/>
          <w:sz w:val="18"/>
          <w:szCs w:val="18"/>
        </w:rPr>
        <w:t xml:space="preserve">early_stopping=True</w:t>
      </w:r>
      <w:r>
        <w:rPr>
          <w:rFonts w:ascii="Arial" w:cs="Arial" w:eastAsia="Arial" w:hAnsi="Arial"/>
          <w:sz w:val="20"/>
          <w:szCs w:val="20"/>
        </w:rPr>
        <w:t xml:space="preserve">. This causes sklearn to internally carve a 10% holdout from X_train — </w:t>
      </w:r>
      <w:r>
        <w:rPr>
          <w:rFonts w:ascii="Arial" w:cs="Arial" w:eastAsia="Arial" w:hAnsi="Arial"/>
          <w:b/>
          <w:bCs/>
          <w:sz w:val="20"/>
          <w:szCs w:val="20"/>
        </w:rPr>
        <w:t xml:space="preserve">not</w:t>
      </w:r>
      <w:r>
        <w:rPr>
          <w:rFonts w:ascii="Arial" w:cs="Arial" w:eastAsia="Arial" w:hAnsi="Arial"/>
          <w:sz w:val="20"/>
          <w:szCs w:val="20"/>
        </w:rPr>
        <w:t xml:space="preserve"> the explicit X_val set. The sklearn MLP therefore trains on approximately 63% of the data (70% x 0.90), whereas every other model trains on 70%.</w:t>
      </w:r>
    </w:p>
    <w:p>
      <w:pPr>
        <w:spacing w:after="80" w:before="60"/>
      </w:pPr>
      <w:r>
        <w:rPr>
          <w:rFonts w:ascii="Arial" w:cs="Arial" w:eastAsia="Arial" w:hAnsi="Arial"/>
          <w:sz w:val="20"/>
          <w:szCs w:val="20"/>
        </w:rPr>
        <w:t xml:space="preserve">This is not a coding error — it is correct sklearn behaviour — but it is an unacknowledged experimental asymmetry. The report attributes the MLP performance gap entirely to architecture and early-stopping strategy, but cannot support that claim without acknowledging that the sklearn MLP also trains on less data. The two confounds cannot be separated without re-running the sklearn MLP with a manually implemented early-stopping loop on the explicit validation set.</w:t>
      </w:r>
    </w:p>
    <w:p>
      <w:pPr>
        <w:spacing w:after="80" w:before="60"/>
      </w:pPr>
      <w:r>
        <w:rPr>
          <w:rFonts w:ascii="Arial" w:cs="Arial" w:eastAsia="Arial" w:hAnsi="Arial"/>
          <w:b/>
          <w:bCs/>
          <w:sz w:val="20"/>
          <w:szCs w:val="20"/>
        </w:rPr>
        <w:t xml:space="preserve">Required fix: </w:t>
      </w:r>
      <w:r>
        <w:rPr>
          <w:rFonts w:ascii="Arial" w:cs="Arial" w:eastAsia="Arial" w:hAnsi="Arial"/>
          <w:sz w:val="20"/>
          <w:szCs w:val="20"/>
        </w:rPr>
        <w:t xml:space="preserve">One sentence in §3 or §5: 'sklearn's MLPClassifier with early_stopping=True withholds 10% of the training set internally, so the sklearn MLP trains on approximately 63% of available data versus 70% for all other models; the performance gap with the PyTorch model therefore reflects both architectural and data-quantity differences.'</w:t>
      </w:r>
    </w:p>
    <w:p>
      <w:pPr>
        <w:spacing w:after="60" w:before="100"/>
      </w:pPr>
    </w:p>
    <w:p>
      <w:pPr>
        <w:pStyle w:val="Heading2"/>
        <w:spacing w:after="80" w:before="260"/>
      </w:pPr>
      <w:r>
        <w:rPr>
          <w:rFonts w:ascii="Arial" w:cs="Arial" w:eastAsia="Arial" w:hAnsi="Arial"/>
          <w:b/>
          <w:bCs/>
          <w:color w:val="2E4A7A"/>
          <w:sz w:val="24"/>
          <w:szCs w:val="24"/>
        </w:rPr>
        <w:t xml:space="preserve">3c.  McNemar power argument is asserted but not quantified (§5)</w:t>
      </w:r>
    </w:p>
    <w:p>
      <w:pPr>
        <w:spacing w:after="80" w:before="60"/>
      </w:pPr>
      <w:r>
        <w:rPr>
          <w:rFonts w:ascii="Arial" w:cs="Arial" w:eastAsia="Arial" w:hAnsi="Arial"/>
          <w:sz w:val="20"/>
          <w:szCs w:val="20"/>
        </w:rPr>
        <w:t xml:space="preserve">The report correctly states that the test has 'very limited statistical power' with 28 discordant pairs. However, 'very limited' is vague. The power argument becomes a substantive empirical contribution when quantified:</w:t>
      </w:r>
    </w:p>
    <w:p>
      <w:pPr>
        <w:spacing w:after="60" w:before="60"/>
        <w:ind w:left="720"/>
      </w:pPr>
      <w:r>
        <w:rPr>
          <w:rFonts w:ascii="Arial" w:cs="Arial" w:eastAsia="Arial" w:hAnsi="Arial"/>
          <w:i/>
          <w:iCs/>
          <w:sz w:val="20"/>
          <w:szCs w:val="20"/>
        </w:rPr>
        <w:t xml:space="preserve">With b + c = 28 discordant pairs, rejecting H₀ at p &lt; 0.05 (two-sided exact binomial) requires min(b, c) ≤ 8 — meaning one model must be correct on at least 20 of the 28 contested observations. To reach 50+ discordant pairs, a model would need to make materially different predictions on approximately 3.7% of test days (50/1,367). This is not a marginal improvement — it requires capturing genuine transition-day signal that persistence structurally cannot access.</w:t>
      </w:r>
    </w:p>
    <w:p>
      <w:pPr>
        <w:spacing w:after="80" w:before="60"/>
      </w:pPr>
      <w:r>
        <w:rPr>
          <w:rFonts w:ascii="Arial" w:cs="Arial" w:eastAsia="Arial" w:hAnsi="Arial"/>
          <w:sz w:val="20"/>
          <w:szCs w:val="20"/>
        </w:rPr>
        <w:t xml:space="preserve">Stating this bound explicitly converts the null result from a negative into a quantitative claim about what the feature set cannot do — which is the more defensible and more interesting interpretation.</w:t>
      </w:r>
    </w:p>
    <w:p>
      <w:pPr>
        <w:spacing w:after="60" w:before="100"/>
      </w:pPr>
    </w:p>
    <w:p>
      <w:pPr>
        <w:pStyle w:val="Heading2"/>
        <w:spacing w:after="80" w:before="260"/>
      </w:pPr>
      <w:r>
        <w:rPr>
          <w:rFonts w:ascii="Arial" w:cs="Arial" w:eastAsia="Arial" w:hAnsi="Arial"/>
          <w:b/>
          <w:bCs/>
          <w:color w:val="2E4A7A"/>
          <w:sz w:val="24"/>
          <w:szCs w:val="24"/>
        </w:rPr>
        <w:t xml:space="preserve">3d.  Notebook Cell 22 markdown states the wrong model count</w:t>
      </w:r>
    </w:p>
    <w:p>
      <w:pPr>
        <w:spacing w:after="80" w:before="60"/>
      </w:pPr>
      <w:r>
        <w:rPr>
          <w:rFonts w:ascii="Arial" w:cs="Arial" w:eastAsia="Arial" w:hAnsi="Arial"/>
          <w:sz w:val="20"/>
          <w:szCs w:val="20"/>
        </w:rPr>
        <w:t xml:space="preserve">The Cell 22 header reads: 'Train </w:t>
      </w:r>
      <w:r>
        <w:rPr>
          <w:rFonts w:ascii="Arial" w:cs="Arial" w:eastAsia="Arial" w:hAnsi="Arial"/>
          <w:b/>
          <w:bCs/>
          <w:sz w:val="20"/>
          <w:szCs w:val="20"/>
        </w:rPr>
        <w:t xml:space="preserve">four</w:t>
      </w:r>
      <w:r>
        <w:rPr>
          <w:rFonts w:ascii="Arial" w:cs="Arial" w:eastAsia="Arial" w:hAnsi="Arial"/>
          <w:sz w:val="20"/>
          <w:szCs w:val="20"/>
        </w:rPr>
        <w:t xml:space="preserve"> classifiers (Logistic Regression, Random Forest, XGBoost, MLP)'. The notebook trains </w:t>
      </w:r>
      <w:r>
        <w:rPr>
          <w:rFonts w:ascii="Arial" w:cs="Arial" w:eastAsia="Arial" w:hAnsi="Arial"/>
          <w:b/>
          <w:bCs/>
          <w:sz w:val="20"/>
          <w:szCs w:val="20"/>
        </w:rPr>
        <w:t xml:space="preserve">five</w:t>
      </w:r>
      <w:r>
        <w:rPr>
          <w:rFonts w:ascii="Arial" w:cs="Arial" w:eastAsia="Arial" w:hAnsi="Arial"/>
          <w:sz w:val="20"/>
          <w:szCs w:val="20"/>
        </w:rPr>
        <w:t xml:space="preserve"> ML models — the PyTorch DeepMLP is omitted from the count. Cell 27 and Cell 36 correctly reference 'all five models', creating an internal inconsistency in the notebook's documentation.</w:t>
      </w:r>
    </w:p>
    <w:p>
      <w:pPr>
        <w:spacing w:after="80" w:before="60"/>
      </w:pPr>
      <w:r>
        <w:rPr>
          <w:rFonts w:ascii="Arial" w:cs="Arial" w:eastAsia="Arial" w:hAnsi="Arial"/>
          <w:b/>
          <w:bCs/>
          <w:sz w:val="20"/>
          <w:szCs w:val="20"/>
        </w:rPr>
        <w:t xml:space="preserve">Required fix: </w:t>
      </w:r>
      <w:r>
        <w:rPr>
          <w:rFonts w:ascii="Arial" w:cs="Arial" w:eastAsia="Arial" w:hAnsi="Arial"/>
          <w:sz w:val="20"/>
          <w:szCs w:val="20"/>
        </w:rPr>
        <w:t xml:space="preserve">Update Cell 22 to 'Train five classifiers (LR, RF, XGBoost, sklearn MLP, PyTorch DeepMLP)'.</w:t>
      </w:r>
    </w:p>
    <w:p>
      <w:pPr>
        <w:pBdr>
          <w:bottom w:val="single" w:color="CCCCCC" w:sz="4"/>
        </w:pBdr>
        <w:spacing w:after="160" w:before="140"/>
      </w:pPr>
    </w:p>
    <w:p>
      <w:pPr>
        <w:pStyle w:val="Heading1"/>
        <w:spacing w:after="120" w:before="360"/>
      </w:pPr>
      <w:r>
        <w:rPr>
          <w:rFonts w:ascii="Arial" w:cs="Arial" w:eastAsia="Arial" w:hAnsi="Arial"/>
          <w:b/>
          <w:bCs/>
          <w:color w:val="1F3864"/>
          <w:sz w:val="28"/>
          <w:szCs w:val="28"/>
        </w:rPr>
        <w:t xml:space="preserve">4. Minor Issues</w:t>
      </w:r>
    </w:p>
    <w:p>
      <w:pPr>
        <w:pStyle w:val="Heading2"/>
        <w:spacing w:after="80" w:before="260"/>
      </w:pPr>
      <w:r>
        <w:rPr>
          <w:rFonts w:ascii="Arial" w:cs="Arial" w:eastAsia="Arial" w:hAnsi="Arial"/>
          <w:b/>
          <w:bCs/>
          <w:color w:val="2E4A7A"/>
          <w:sz w:val="24"/>
          <w:szCs w:val="24"/>
        </w:rPr>
        <w:t xml:space="preserve">4a.  Limitation hierarchy (§6)</w:t>
      </w:r>
    </w:p>
    <w:p>
      <w:pPr>
        <w:spacing w:after="80" w:before="60"/>
      </w:pPr>
      <w:r>
        <w:rPr>
          <w:rFonts w:ascii="Arial" w:cs="Arial" w:eastAsia="Arial" w:hAnsi="Arial"/>
          <w:sz w:val="20"/>
          <w:szCs w:val="20"/>
        </w:rPr>
        <w:t xml:space="preserve">The two limitations — VIX is options-implied; all features derive from the same series — are presented as independent co-equal constraints. They are not. The first is the </w:t>
      </w:r>
      <w:r>
        <w:rPr>
          <w:rFonts w:ascii="Arial" w:cs="Arial" w:eastAsia="Arial" w:hAnsi="Arial"/>
          <w:b/>
          <w:bCs/>
          <w:sz w:val="20"/>
          <w:szCs w:val="20"/>
        </w:rPr>
        <w:t xml:space="preserve">binding</w:t>
      </w:r>
      <w:r>
        <w:rPr>
          <w:rFonts w:ascii="Arial" w:cs="Arial" w:eastAsia="Arial" w:hAnsi="Arial"/>
          <w:sz w:val="20"/>
          <w:szCs w:val="20"/>
        </w:rPr>
        <w:t xml:space="preserve"> constraint: if VIX already encodes market expectations about future volatility, extracting additional predictive signal from historical VIX values means trying to out-forecast the options market using public data. The second limitation is a consequence: the ceiling is set by market efficiency, and feature engineering within the same series cannot raise that ceiling. Presenting them in this order, with the second explicitly subordinated to the first, makes the argument structurally cleaner.</w:t>
      </w:r>
    </w:p>
    <w:p>
      <w:pPr>
        <w:spacing w:after="60" w:before="80"/>
      </w:pPr>
    </w:p>
    <w:p>
      <w:pPr>
        <w:pStyle w:val="Heading2"/>
        <w:spacing w:after="80" w:before="260"/>
      </w:pPr>
      <w:r>
        <w:rPr>
          <w:rFonts w:ascii="Arial" w:cs="Arial" w:eastAsia="Arial" w:hAnsi="Arial"/>
          <w:b/>
          <w:bCs/>
          <w:color w:val="2E4A7A"/>
          <w:sz w:val="24"/>
          <w:szCs w:val="24"/>
        </w:rPr>
        <w:t xml:space="preserve">4b.  Calibration result is unframed (§5)</w:t>
      </w:r>
    </w:p>
    <w:p>
      <w:pPr>
        <w:spacing w:after="80" w:before="60"/>
      </w:pPr>
      <w:r>
        <w:rPr>
          <w:rFonts w:ascii="Arial" w:cs="Arial" w:eastAsia="Arial" w:hAnsi="Arial"/>
          <w:sz w:val="20"/>
          <w:szCs w:val="20"/>
        </w:rPr>
        <w:t xml:space="preserve">The log-loss (0.2525) and reliability diagram result are reported but not connected to the paper's conclusion. If persistence is the final model — and it has no probability outputs — calibration is the </w:t>
      </w:r>
      <w:r>
        <w:rPr>
          <w:rFonts w:ascii="Arial" w:cs="Arial" w:eastAsia="Arial" w:hAnsi="Arial"/>
          <w:b/>
          <w:bCs/>
          <w:sz w:val="20"/>
          <w:szCs w:val="20"/>
        </w:rPr>
        <w:t xml:space="preserve">only</w:t>
      </w:r>
      <w:r>
        <w:rPr>
          <w:rFonts w:ascii="Arial" w:cs="Arial" w:eastAsia="Arial" w:hAnsi="Arial"/>
          <w:sz w:val="20"/>
          <w:szCs w:val="20"/>
        </w:rPr>
        <w:t xml:space="preserve"> distinctive functional advantage LR retains over persistence. State this explicitly: LR's probability estimates may be useful as continuous risk-monitoring signals even though its point-classification advantage over persistence is negligible. Without this sentence, the calibration paragraph reads as an observation in search of a point.</w:t>
      </w:r>
    </w:p>
    <w:p>
      <w:pPr>
        <w:spacing w:after="60" w:before="80"/>
      </w:pPr>
    </w:p>
    <w:p>
      <w:pPr>
        <w:pStyle w:val="Heading2"/>
        <w:spacing w:after="80" w:before="260"/>
      </w:pPr>
      <w:r>
        <w:rPr>
          <w:rFonts w:ascii="Arial" w:cs="Arial" w:eastAsia="Arial" w:hAnsi="Arial"/>
          <w:b/>
          <w:bCs/>
          <w:color w:val="2E4A7A"/>
          <w:sz w:val="24"/>
          <w:szCs w:val="24"/>
        </w:rPr>
        <w:t xml:space="preserve">4c.  Future work is generic (§6)</w:t>
      </w:r>
    </w:p>
    <w:p>
      <w:pPr>
        <w:spacing w:after="80" w:before="60"/>
      </w:pPr>
      <w:r>
        <w:rPr>
          <w:rFonts w:ascii="Arial" w:cs="Arial" w:eastAsia="Arial" w:hAnsi="Arial"/>
          <w:sz w:val="20"/>
          <w:szCs w:val="20"/>
        </w:rPr>
        <w:t xml:space="preserve">The failure-mode analysis (Cell 37) identifies 130 regime-transition events in 1,367 test observations — 9.5% of days. This is the most important diagnostic result after the McNemar statistic. The future work paragraph proposes equity returns, realised volatility, and credit spreads as additional signals, but does not justify why these would specifically help on </w:t>
      </w:r>
      <w:r>
        <w:rPr>
          <w:rFonts w:ascii="Arial" w:cs="Arial" w:eastAsia="Arial" w:hAnsi="Arial"/>
          <w:i/>
          <w:iCs/>
          <w:sz w:val="20"/>
          <w:szCs w:val="20"/>
        </w:rPr>
        <w:t xml:space="preserve">those 130 days</w:t>
      </w:r>
      <w:r>
        <w:rPr>
          <w:rFonts w:ascii="Arial" w:cs="Arial" w:eastAsia="Arial" w:hAnsi="Arial"/>
          <w:sz w:val="20"/>
          <w:szCs w:val="20"/>
        </w:rPr>
        <w:t xml:space="preserve">. The link from diagnostic finding to proposed remedy is the substance of the paragraph — make it explicit. For example: realised volatility leads implied volatility at regime-change points; credit spreads widen before VIX spikes rather than simultaneously. Without this specificity the future work is indistinguishable from a generic list.</w:t>
      </w:r>
    </w:p>
    <w:p>
      <w:pPr>
        <w:pBdr>
          <w:bottom w:val="single" w:color="CCCCCC" w:sz="4"/>
        </w:pBdr>
        <w:spacing w:after="160" w:before="140"/>
      </w:pPr>
    </w:p>
    <w:p>
      <w:pPr>
        <w:pStyle w:val="Heading1"/>
        <w:spacing w:after="120" w:before="360"/>
      </w:pPr>
      <w:r>
        <w:rPr>
          <w:rFonts w:ascii="Arial" w:cs="Arial" w:eastAsia="Arial" w:hAnsi="Arial"/>
          <w:b/>
          <w:bCs/>
          <w:color w:val="1F3864"/>
          <w:sz w:val="28"/>
          <w:szCs w:val="28"/>
        </w:rPr>
        <w:t xml:space="preserve">5. What Works Well</w:t>
      </w:r>
    </w:p>
    <w:p>
      <w:pPr>
        <w:spacing w:after="80" w:before="60"/>
      </w:pPr>
      <w:r>
        <w:rPr>
          <w:rFonts w:ascii="Arial" w:cs="Arial" w:eastAsia="Arial" w:hAnsi="Arial"/>
          <w:sz w:val="20"/>
          <w:szCs w:val="20"/>
        </w:rPr>
        <w:t xml:space="preserve">The following elements are genuine strengths of the submission and should be preserved in any revision.</w:t>
      </w:r>
    </w:p>
    <w:p>
      <w:pPr>
        <w:spacing w:after="60" w:before="80"/>
      </w:pPr>
    </w:p>
    <w:p>
      <w:pPr>
        <w:pStyle w:val="ListParagraph"/>
        <w:numPr>
          <w:ilvl w:val="0"/>
          <w:numId w:val="2"/>
        </w:numPr>
        <w:spacing w:after="40" w:before="40"/>
      </w:pPr>
      <w:r>
        <w:rPr>
          <w:rFonts w:ascii="Arial" w:cs="Arial" w:eastAsia="Arial" w:hAnsi="Arial"/>
          <w:b/>
          <w:bCs/>
          <w:sz w:val="20"/>
          <w:szCs w:val="20"/>
        </w:rPr>
        <w:t xml:space="preserve">Conclusion is logically coherent. </w:t>
      </w:r>
      <w:r>
        <w:rPr>
          <w:rFonts w:ascii="Arial" w:cs="Arial" w:eastAsia="Arial" w:hAnsi="Arial"/>
          <w:sz w:val="20"/>
          <w:szCs w:val="20"/>
        </w:rPr>
        <w:t xml:space="preserve">Persistence is correctly named as the final model and the justification (p = 0.85, McNemar) is correctly given. LR is characterised as an interpretive instrument rather than a predictive champion. This resolves the central structural flaw present in the previous version.</w:t>
      </w:r>
    </w:p>
    <w:p>
      <w:pPr>
        <w:pStyle w:val="ListParagraph"/>
        <w:numPr>
          <w:ilvl w:val="0"/>
          <w:numId w:val="2"/>
        </w:numPr>
        <w:spacing w:after="40" w:before="40"/>
      </w:pPr>
      <w:r>
        <w:rPr>
          <w:rFonts w:ascii="Arial" w:cs="Arial" w:eastAsia="Arial" w:hAnsi="Arial"/>
          <w:b/>
          <w:bCs/>
          <w:sz w:val="20"/>
          <w:szCs w:val="20"/>
        </w:rPr>
        <w:t xml:space="preserve">All nine features are accurately described. </w:t>
      </w:r>
      <w:r>
        <w:rPr>
          <w:rFonts w:ascii="Arial" w:cs="Arial" w:eastAsia="Arial" w:hAnsi="Arial"/>
          <w:sz w:val="20"/>
          <w:szCs w:val="20"/>
        </w:rPr>
        <w:t xml:space="preserve">Lag structure (1, 2, 5) is correct. Intraday range is correctly flagged as EDA-only. Rolling statistics on </w:t>
      </w:r>
      <w:r>
        <w:rPr>
          <w:rFonts w:ascii="Courier New" w:cs="Courier New" w:eastAsia="Courier New" w:hAnsi="Courier New"/>
          <w:color w:val="8B0000"/>
          <w:sz w:val="18"/>
          <w:szCs w:val="18"/>
        </w:rPr>
        <w:t xml:space="preserve">CLOSE.shift(1)</w:t>
      </w:r>
      <w:r>
        <w:rPr>
          <w:rFonts w:ascii="Arial" w:cs="Arial" w:eastAsia="Arial" w:hAnsi="Arial"/>
          <w:sz w:val="20"/>
          <w:szCs w:val="20"/>
        </w:rPr>
        <w:t xml:space="preserve"> rather than the contemporaneous close is noted, which directly addresses the leakage audit.</w:t>
      </w:r>
    </w:p>
    <w:p>
      <w:pPr>
        <w:pStyle w:val="ListParagraph"/>
        <w:numPr>
          <w:ilvl w:val="0"/>
          <w:numId w:val="2"/>
        </w:numPr>
        <w:spacing w:after="40" w:before="40"/>
      </w:pPr>
      <w:r>
        <w:rPr>
          <w:rFonts w:ascii="Arial" w:cs="Arial" w:eastAsia="Arial" w:hAnsi="Arial"/>
          <w:b/>
          <w:bCs/>
          <w:sz w:val="20"/>
          <w:szCs w:val="20"/>
        </w:rPr>
        <w:t xml:space="preserve">Expected persistence F1 derivation is attempted. </w:t>
      </w:r>
      <w:r>
        <w:rPr>
          <w:rFonts w:ascii="Arial" w:cs="Arial" w:eastAsia="Arial" w:hAnsi="Arial"/>
          <w:sz w:val="20"/>
          <w:szCs w:val="20"/>
        </w:rPr>
        <w:t xml:space="preserve">The intent — to show the baseline result is structurally determined by the transition matrix before fitting any model — is correct and analytically valuable. The execution is wrong (see §2a), but the move itself is what an A-range submission makes.</w:t>
      </w:r>
    </w:p>
    <w:p>
      <w:pPr>
        <w:pStyle w:val="ListParagraph"/>
        <w:numPr>
          <w:ilvl w:val="0"/>
          <w:numId w:val="2"/>
        </w:numPr>
        <w:spacing w:after="40" w:before="40"/>
      </w:pPr>
      <w:r>
        <w:rPr>
          <w:rFonts w:ascii="Arial" w:cs="Arial" w:eastAsia="Arial" w:hAnsi="Arial"/>
          <w:b/>
          <w:bCs/>
          <w:sz w:val="20"/>
          <w:szCs w:val="20"/>
        </w:rPr>
        <w:t xml:space="preserve">McNemar result is correctly elevated. </w:t>
      </w:r>
      <w:r>
        <w:rPr>
          <w:rFonts w:ascii="Arial" w:cs="Arial" w:eastAsia="Arial" w:hAnsi="Arial"/>
          <w:sz w:val="20"/>
          <w:szCs w:val="20"/>
        </w:rPr>
        <w:t xml:space="preserve">The p-value of 0.85 on 28 discordant pairs is placed as the headline result of the evaluation section. Framing it as an empirical bound rather than a failure demonstrates genuine understanding of hypothesis testing in finite samples.</w:t>
      </w:r>
    </w:p>
    <w:p>
      <w:pPr>
        <w:pStyle w:val="ListParagraph"/>
        <w:numPr>
          <w:ilvl w:val="0"/>
          <w:numId w:val="2"/>
        </w:numPr>
        <w:spacing w:after="40" w:before="40"/>
      </w:pPr>
      <w:r>
        <w:rPr>
          <w:rFonts w:ascii="Arial" w:cs="Arial" w:eastAsia="Arial" w:hAnsi="Arial"/>
          <w:b/>
          <w:bCs/>
          <w:sz w:val="20"/>
          <w:szCs w:val="20"/>
        </w:rPr>
        <w:t xml:space="preserve">PyTorch architecture details are accurate. </w:t>
      </w:r>
      <w:r>
        <w:rPr>
          <w:rFonts w:ascii="Arial" w:cs="Arial" w:eastAsia="Arial" w:hAnsi="Arial"/>
          <w:sz w:val="20"/>
          <w:szCs w:val="20"/>
        </w:rPr>
        <w:t xml:space="preserve">128→64→32, Dropout 0.20, Adam with weight decay, early stopping on validation macro F1 — all correspond exactly to Cell 26.</w:t>
      </w:r>
    </w:p>
    <w:p>
      <w:pPr>
        <w:pStyle w:val="ListParagraph"/>
        <w:numPr>
          <w:ilvl w:val="0"/>
          <w:numId w:val="2"/>
        </w:numPr>
        <w:spacing w:after="40" w:before="40"/>
      </w:pPr>
      <w:r>
        <w:rPr>
          <w:rFonts w:ascii="Arial" w:cs="Arial" w:eastAsia="Arial" w:hAnsi="Arial"/>
          <w:b/>
          <w:bCs/>
          <w:sz w:val="20"/>
          <w:szCs w:val="20"/>
        </w:rPr>
        <w:t xml:space="preserve">Transition-day failure analysis is substantive. </w:t>
      </w:r>
      <w:r>
        <w:rPr>
          <w:rFonts w:ascii="Arial" w:cs="Arial" w:eastAsia="Arial" w:hAnsi="Arial"/>
          <w:sz w:val="20"/>
          <w:szCs w:val="20"/>
        </w:rPr>
        <w:t xml:space="preserve">Quantifying stable vs transition error rates across all six model specifications (Cell 37) adds analytical depth beyond a performance table. This is the most useful diagnostic result in the submission.</w:t>
      </w:r>
    </w:p>
    <w:p>
      <w:pPr>
        <w:pStyle w:val="ListParagraph"/>
        <w:numPr>
          <w:ilvl w:val="0"/>
          <w:numId w:val="2"/>
        </w:numPr>
        <w:spacing w:after="40" w:before="40"/>
      </w:pPr>
      <w:r>
        <w:rPr>
          <w:rFonts w:ascii="Arial" w:cs="Arial" w:eastAsia="Arial" w:hAnsi="Arial"/>
          <w:b/>
          <w:bCs/>
          <w:sz w:val="20"/>
          <w:szCs w:val="20"/>
        </w:rPr>
        <w:t xml:space="preserve">Leakage controls are correctly described and implemented. </w:t>
      </w:r>
      <w:r>
        <w:rPr>
          <w:rFonts w:ascii="Arial" w:cs="Arial" w:eastAsia="Arial" w:hAnsi="Arial"/>
          <w:sz w:val="20"/>
          <w:szCs w:val="20"/>
        </w:rPr>
        <w:t xml:space="preserve">The scaler is fit on training data only. The split is chronological. The leakage verification cell is present and correct.</w:t>
      </w:r>
    </w:p>
    <w:p>
      <w:pPr>
        <w:pStyle w:val="ListParagraph"/>
        <w:numPr>
          <w:ilvl w:val="0"/>
          <w:numId w:val="2"/>
        </w:numPr>
        <w:spacing w:after="40" w:before="40"/>
      </w:pPr>
      <w:r>
        <w:rPr>
          <w:rFonts w:ascii="Arial" w:cs="Arial" w:eastAsia="Arial" w:hAnsi="Arial"/>
          <w:b/>
          <w:bCs/>
          <w:sz w:val="20"/>
          <w:szCs w:val="20"/>
        </w:rPr>
        <w:t xml:space="preserve">Report is within the word-count limit. </w:t>
      </w:r>
      <w:r>
        <w:rPr>
          <w:rFonts w:ascii="Arial" w:cs="Arial" w:eastAsia="Arial" w:hAnsi="Arial"/>
          <w:sz w:val="20"/>
          <w:szCs w:val="20"/>
        </w:rPr>
        <w:t xml:space="preserve">No penalty is applied.</w:t>
      </w:r>
    </w:p>
    <w:p>
      <w:pPr>
        <w:pBdr>
          <w:bottom w:val="single" w:color="CCCCCC" w:sz="4"/>
        </w:pBdr>
        <w:spacing w:after="160" w:before="140"/>
      </w:pPr>
    </w:p>
    <w:p>
      <w:pPr>
        <w:pStyle w:val="Heading1"/>
        <w:spacing w:after="120" w:before="360"/>
      </w:pPr>
      <w:r>
        <w:rPr>
          <w:rFonts w:ascii="Arial" w:cs="Arial" w:eastAsia="Arial" w:hAnsi="Arial"/>
          <w:b/>
          <w:bCs/>
          <w:color w:val="1F3864"/>
          <w:sz w:val="28"/>
          <w:szCs w:val="28"/>
        </w:rPr>
        <w:t xml:space="preserve">6. Prioritised Action List</w:t>
      </w:r>
    </w:p>
    <w:p>
      <w:pPr>
        <w:spacing w:after="80" w:before="60"/>
      </w:pPr>
      <w:r>
        <w:rPr>
          <w:rFonts w:ascii="Arial" w:cs="Arial" w:eastAsia="Arial" w:hAnsi="Arial"/>
          <w:b/>
          <w:bCs/>
          <w:sz w:val="20"/>
          <w:szCs w:val="20"/>
        </w:rPr>
        <w:t xml:space="preserve">MUST FIX</w:t>
      </w:r>
      <w:r>
        <w:rPr>
          <w:rFonts w:ascii="Arial" w:cs="Arial" w:eastAsia="Arial" w:hAnsi="Arial"/>
          <w:sz w:val="20"/>
          <w:szCs w:val="20"/>
        </w:rPr>
        <w:t xml:space="preserve"> = factual errors that will reduce the final mark if left uncorrected.  </w:t>
      </w:r>
      <w:r>
        <w:rPr>
          <w:rFonts w:ascii="Arial" w:cs="Arial" w:eastAsia="Arial" w:hAnsi="Arial"/>
          <w:b/>
          <w:bCs/>
          <w:sz w:val="20"/>
          <w:szCs w:val="20"/>
        </w:rPr>
        <w:t xml:space="preserve">SHOULD FIX</w:t>
      </w:r>
      <w:r>
        <w:rPr>
          <w:rFonts w:ascii="Arial" w:cs="Arial" w:eastAsia="Arial" w:hAnsi="Arial"/>
          <w:sz w:val="20"/>
          <w:szCs w:val="20"/>
        </w:rPr>
        <w:t xml:space="preserve"> = analytical gaps limiting the grade.  </w:t>
      </w:r>
      <w:r>
        <w:rPr>
          <w:rFonts w:ascii="Arial" w:cs="Arial" w:eastAsia="Arial" w:hAnsi="Arial"/>
          <w:b/>
          <w:bCs/>
          <w:sz w:val="20"/>
          <w:szCs w:val="20"/>
        </w:rPr>
        <w:t xml:space="preserve">STRENGTHENS</w:t>
      </w:r>
      <w:r>
        <w:rPr>
          <w:rFonts w:ascii="Arial" w:cs="Arial" w:eastAsia="Arial" w:hAnsi="Arial"/>
          <w:sz w:val="20"/>
          <w:szCs w:val="20"/>
        </w:rPr>
        <w:t xml:space="preserve"> = changes that would move the work into A-range.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1680"/>
        <w:gridCol w:w="7120"/>
      </w:tblGrid>
      <w:tr>
        <w:trPr>
          <w:tblHeader/>
        </w:trPr>
        <w:tc>
          <w:tcPr>
            <w:tcW w:type="dxa" w:w="56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68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7120"/>
            <w:tcBorders>
              <w:top w:val="single" w:color="1F3864" w:sz="4"/>
              <w:left w:val="single" w:color="1F3864" w:sz="4"/>
              <w:bottom w:val="single" w:color="1F3864" w:sz="4"/>
              <w:right w:val="single" w:color="1F3864" w:sz="4"/>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 required</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1</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392B"/>
                <w:sz w:val="20"/>
                <w:szCs w:val="20"/>
              </w:rPr>
              <w:t xml:space="preserve">MUST FIX</w:t>
            </w:r>
          </w:p>
        </w:tc>
        <w:tc>
          <w:tcPr>
            <w:tcW w:type="dxa" w:w="7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§2: Correct the expected macro F1 derivation. Frequency-weighting the transition-matrix diagonal gives expected accuracy (≈0.908), not macro F1 (0.8799). Either derive it correctly or remove it.</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392B"/>
                <w:sz w:val="20"/>
                <w:szCs w:val="20"/>
              </w:rPr>
              <w:t xml:space="preserve">MUST FIX</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Add that LR underperforms persistence on the Low regime (F1 falls 0.8860→0.8794). Present the High-regime gain and Low-regime loss as a trade-off, not a uniform improvement.</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3</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392B"/>
                <w:sz w:val="20"/>
                <w:szCs w:val="20"/>
              </w:rPr>
              <w:t xml:space="preserve">MUST FIX</w:t>
            </w:r>
          </w:p>
        </w:tc>
        <w:tc>
          <w:tcPr>
            <w:tcW w:type="dxa" w:w="7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README.md: Replace both occurrences of analysis_v2.ipynb with analysis_v3.ipynb.</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7000"/>
                <w:sz w:val="20"/>
                <w:szCs w:val="20"/>
              </w:rPr>
              <w:t xml:space="preserve">SHOULD FIX</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 Add one sentence: sklearn's early_stopping=True carves an internal 10% holdout from training data, so the sklearn MLP trains on ~63% of data vs 70% for all other models.</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C07000"/>
                <w:sz w:val="20"/>
                <w:szCs w:val="20"/>
              </w:rPr>
              <w:t xml:space="preserve">SHOULD FIX</w:t>
            </w:r>
          </w:p>
        </w:tc>
        <w:tc>
          <w:tcPr>
            <w:tcW w:type="dxa" w:w="7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Notebook Cell 22: Change 'Train four classifiers' to 'Train five classifiers (LR, RF, XGBoost, sklearn MLP, PyTorch MLP)'.</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1A"/>
                <w:sz w:val="20"/>
                <w:szCs w:val="20"/>
              </w:rPr>
              <w:t xml:space="preserve">STRENGTHENS</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Rewrite model-selection rationale as a causal argument stated before the results table. Explain why collinearity benefits LR, why it exposes tree models to non-stationarity across 1990–2026, and why PyTorch's early-stopping target (macro F1 rather than loss) matters.</w:t>
            </w:r>
          </w:p>
        </w:tc>
      </w:tr>
      <w:tr>
        <w:tc>
          <w:tcPr>
            <w:tcW w:type="dxa" w:w="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7</w:t>
            </w:r>
          </w:p>
        </w:tc>
        <w:tc>
          <w:tcPr>
            <w:tcW w:type="dxa" w:w="16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color w:val="1A6B1A"/>
                <w:sz w:val="20"/>
                <w:szCs w:val="20"/>
              </w:rPr>
              <w:t xml:space="preserve">STRENGTHENS</w:t>
            </w:r>
          </w:p>
        </w:tc>
        <w:tc>
          <w:tcPr>
            <w:tcW w:type="dxa" w:w="712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sz w:val="20"/>
                <w:szCs w:val="20"/>
              </w:rPr>
              <w:t xml:space="preserve">§5: Quantify the McNemar power argument — to reject H₀ at p &lt; 0.05, approximately 50+ discordant pairs are needed. State what that implies about the level of signal required.</w:t>
            </w:r>
          </w:p>
        </w:tc>
      </w:tr>
      <w:tr>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1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6B1A"/>
                <w:sz w:val="20"/>
                <w:szCs w:val="20"/>
              </w:rPr>
              <w:t xml:space="preserve">STRENGTHENS</w:t>
            </w:r>
          </w:p>
        </w:tc>
        <w:tc>
          <w:tcPr>
            <w:tcW w:type="dxa" w:w="7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 Reorder limitations so the binding constraint (VIX already encodes market expectations) comes first; the feature-set constraint is a consequence of it, not an independent limitation.</w:t>
            </w:r>
          </w:p>
        </w:tc>
      </w:tr>
    </w:tbl>
    <w:p>
      <w:pPr>
        <w:spacing w:after="60" w:before="280"/>
      </w:pPr>
    </w:p>
    <w:p>
      <w:pPr>
        <w:pBdr>
          <w:bottom w:val="single" w:color="1F3864" w:sz="6"/>
        </w:pBdr>
        <w:spacing w:after="160" w:before="140"/>
      </w:pPr>
    </w:p>
    <w:p>
      <w:r>
        <w:rPr>
          <w:rFonts w:ascii="Arial" w:cs="Arial" w:eastAsia="Arial" w:hAnsi="Arial"/>
          <w:i/>
          <w:iCs/>
          <w:color w:val="888888"/>
          <w:sz w:val="16"/>
          <w:szCs w:val="16"/>
        </w:rPr>
        <w:t xml:space="preserve">MSIN0097 Predictive Analytics — Examiner's Report  |  analysis_v3.ipynb + Predictive_Analytics_report.docx</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60"/>
      <w:outlineLvl w:val="1"/>
    </w:pPr>
    <w:rPr>
      <w:rFonts w:ascii="Arial" w:cs="Arial" w:eastAsia="Arial" w:hAnsi="Arial"/>
      <w:b/>
      <w:bCs/>
      <w:color w:val="2E4A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2026-03-08T22:26:29.405Z</dcterms:created>
  <dcterms:modified xsi:type="dcterms:W3CDTF">2026-03-08T22:26:29.408Z</dcterms:modified>
</cp:coreProperties>
</file>

<file path=docProps/custom.xml><?xml version="1.0" encoding="utf-8"?>
<Properties xmlns="http://schemas.openxmlformats.org/officeDocument/2006/custom-properties" xmlns:vt="http://schemas.openxmlformats.org/officeDocument/2006/docPropsVTypes"/>
</file>