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F7" w:rsidRDefault="001D0AE2">
      <w:pPr>
        <w:pStyle w:val="Standard"/>
        <w:jc w:val="center"/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Mini Project</w:t>
      </w:r>
    </w:p>
    <w:p w:rsidR="00E748F7" w:rsidRDefault="001D0AE2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Topic:</w:t>
      </w:r>
      <w:r>
        <w:rPr>
          <w:rFonts w:ascii="Times New Roman" w:hAnsi="Times New Roman" w:cs="Times New Roman"/>
          <w:sz w:val="28"/>
          <w:szCs w:val="28"/>
        </w:rPr>
        <w:t xml:space="preserve"> Banking </w:t>
      </w:r>
      <w:r>
        <w:rPr>
          <w:rFonts w:ascii="Times New Roman" w:hAnsi="Times New Roman" w:cs="Times New Roman"/>
          <w:sz w:val="32"/>
          <w:szCs w:val="32"/>
        </w:rPr>
        <w:t>and Insurance</w:t>
      </w:r>
    </w:p>
    <w:p w:rsidR="00E748F7" w:rsidRDefault="001D0AE2">
      <w:pPr>
        <w:pStyle w:val="Standard"/>
        <w:rPr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Team 6</w:t>
      </w:r>
    </w:p>
    <w:p w:rsidR="00E748F7" w:rsidRDefault="001D0AE2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b/>
          <w:sz w:val="28"/>
          <w:szCs w:val="28"/>
        </w:rPr>
        <w:t>Team Members: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Baskerville Old Face" w:hAnsi="Baskerville Old Face" w:cs="Times New Roman"/>
          <w:sz w:val="28"/>
          <w:szCs w:val="28"/>
        </w:rPr>
        <w:t>Zareena Basheer Palakkal</w:t>
      </w:r>
    </w:p>
    <w:p w:rsidR="00E748F7" w:rsidRDefault="001D0AE2">
      <w:pPr>
        <w:pStyle w:val="Standard"/>
      </w:pPr>
      <w:r>
        <w:rPr>
          <w:rFonts w:ascii="Baskerville Old Face" w:hAnsi="Baskerville Old Face" w:cs="Times New Roman"/>
          <w:sz w:val="28"/>
          <w:szCs w:val="28"/>
        </w:rPr>
        <w:t xml:space="preserve">                                 </w:t>
      </w:r>
      <w:r w:rsidR="00BE0CDC">
        <w:rPr>
          <w:rFonts w:ascii="Baskerville Old Face" w:hAnsi="Baskerville Old Face" w:cs="Times New Roman"/>
          <w:sz w:val="28"/>
          <w:szCs w:val="28"/>
        </w:rPr>
        <w:t xml:space="preserve">                  </w:t>
      </w:r>
      <w:r>
        <w:rPr>
          <w:rFonts w:ascii="Baskerville Old Face" w:hAnsi="Baskerville Old Face" w:cs="Times New Roman"/>
          <w:sz w:val="28"/>
          <w:szCs w:val="28"/>
        </w:rPr>
        <w:t>Nimmy Sagar</w:t>
      </w:r>
    </w:p>
    <w:p w:rsidR="00E748F7" w:rsidRDefault="001D0AE2">
      <w:pPr>
        <w:pStyle w:val="Standard"/>
      </w:pPr>
      <w:r>
        <w:rPr>
          <w:rFonts w:ascii="Baskerville Old Face" w:hAnsi="Baskerville Old Face" w:cs="Times New Roman"/>
          <w:sz w:val="28"/>
          <w:szCs w:val="28"/>
        </w:rPr>
        <w:t xml:space="preserve">                                 </w:t>
      </w:r>
      <w:r w:rsidR="00BE0CDC">
        <w:rPr>
          <w:rFonts w:ascii="Baskerville Old Face" w:hAnsi="Baskerville Old Face" w:cs="Times New Roman"/>
          <w:sz w:val="28"/>
          <w:szCs w:val="28"/>
        </w:rPr>
        <w:t xml:space="preserve">                  </w:t>
      </w:r>
      <w:r>
        <w:rPr>
          <w:rFonts w:ascii="Baskerville Old Face" w:hAnsi="Baskerville Old Face" w:cs="Times New Roman"/>
          <w:sz w:val="28"/>
          <w:szCs w:val="28"/>
        </w:rPr>
        <w:t>Gokul S</w:t>
      </w:r>
    </w:p>
    <w:p w:rsidR="00337D0B" w:rsidRDefault="001D0AE2" w:rsidP="00BE0CDC">
      <w:pPr>
        <w:pStyle w:val="Standard"/>
        <w:rPr>
          <w:rFonts w:ascii="Times New Roman" w:hAnsi="Times New Roman" w:cs="Times New Roman"/>
          <w:b/>
          <w:sz w:val="32"/>
          <w:szCs w:val="32"/>
        </w:rPr>
      </w:pPr>
      <w:r w:rsidRPr="00BE0CDC">
        <w:rPr>
          <w:rFonts w:ascii="Times New Roman" w:hAnsi="Times New Roman" w:cs="Times New Roman"/>
          <w:b/>
          <w:sz w:val="32"/>
          <w:szCs w:val="32"/>
        </w:rPr>
        <w:t>Dataset Link:</w:t>
      </w:r>
    </w:p>
    <w:p w:rsidR="007503A2" w:rsidRPr="00337D0B" w:rsidRDefault="00337D0B" w:rsidP="00BE0CDC">
      <w:pPr>
        <w:pStyle w:val="Standard"/>
        <w:rPr>
          <w:rFonts w:ascii="Times New Roman" w:eastAsiaTheme="minorHAnsi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337D0B">
        <w:rPr>
          <w:rFonts w:ascii="Times New Roman" w:eastAsiaTheme="minorHAnsi" w:hAnsi="Times New Roman" w:cs="Times New Roman"/>
          <w:color w:val="0000FF" w:themeColor="hyperlink"/>
          <w:sz w:val="28"/>
          <w:szCs w:val="28"/>
          <w:u w:val="single"/>
          <w:lang w:val="en-IN"/>
        </w:rPr>
        <w:t>https://drive.google.com/open?id=1tIc7M19dzgwp6GSoj8awNeQYy-vsP4X4</w:t>
      </w:r>
      <w:r w:rsidR="001D0AE2" w:rsidRPr="00337D0B">
        <w:rPr>
          <w:rFonts w:ascii="Times New Roman" w:eastAsiaTheme="minorHAnsi" w:hAnsi="Times New Roman" w:cs="Times New Roman"/>
          <w:color w:val="0000FF" w:themeColor="hyperlink"/>
          <w:sz w:val="28"/>
          <w:szCs w:val="28"/>
          <w:u w:val="single"/>
          <w:lang w:val="en-IN"/>
        </w:rPr>
        <w:t xml:space="preserve"> </w:t>
      </w:r>
    </w:p>
    <w:p w:rsidR="007503A2" w:rsidRDefault="00671BBC" w:rsidP="00BE0CDC">
      <w:pPr>
        <w:pStyle w:val="Standard"/>
        <w:rPr>
          <w:rFonts w:ascii="Times New Roman" w:eastAsiaTheme="minorHAnsi" w:hAnsi="Times New Roman" w:cs="Times New Roman"/>
          <w:b/>
          <w:sz w:val="28"/>
          <w:szCs w:val="28"/>
          <w:lang w:val="en-IN"/>
        </w:rPr>
      </w:pPr>
      <w:r w:rsidRPr="00337D0B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Link to the python file</w:t>
      </w:r>
      <w:r w:rsidR="007503A2" w:rsidRPr="00337D0B">
        <w:rPr>
          <w:rFonts w:ascii="Times New Roman" w:eastAsiaTheme="minorHAnsi" w:hAnsi="Times New Roman" w:cs="Times New Roman"/>
          <w:b/>
          <w:sz w:val="28"/>
          <w:szCs w:val="28"/>
          <w:lang w:val="en-IN"/>
        </w:rPr>
        <w:t>:</w:t>
      </w:r>
    </w:p>
    <w:p w:rsidR="00804F95" w:rsidRPr="00804F95" w:rsidRDefault="00804F95" w:rsidP="00BE0CDC">
      <w:pPr>
        <w:pStyle w:val="Standard"/>
        <w:rPr>
          <w:rFonts w:ascii="Times New Roman" w:eastAsiaTheme="minorHAnsi" w:hAnsi="Times New Roman" w:cs="Times New Roman"/>
          <w:color w:val="0000FF" w:themeColor="hyperlink"/>
          <w:sz w:val="28"/>
          <w:szCs w:val="28"/>
          <w:u w:val="single"/>
          <w:lang w:val="en-IN"/>
        </w:rPr>
      </w:pPr>
      <w:r w:rsidRPr="00804F95">
        <w:rPr>
          <w:rFonts w:ascii="Times New Roman" w:eastAsiaTheme="minorHAnsi" w:hAnsi="Times New Roman" w:cs="Times New Roman"/>
          <w:color w:val="0000FF" w:themeColor="hyperlink"/>
          <w:sz w:val="28"/>
          <w:szCs w:val="28"/>
          <w:u w:val="single"/>
          <w:lang w:val="en-IN"/>
        </w:rPr>
        <w:t>https://drive.google.com/open?id=16k3dqPYheqtLEVYrgq_7HQrQ8NwxNg6b</w:t>
      </w:r>
    </w:p>
    <w:p w:rsidR="00E748F7" w:rsidRDefault="001D0AE2">
      <w:pPr>
        <w:pStyle w:val="Standard"/>
      </w:pPr>
      <w:r>
        <w:rPr>
          <w:rFonts w:ascii="Times New Roman" w:hAnsi="Times New Roman" w:cs="Times New Roman"/>
          <w:b/>
          <w:sz w:val="28"/>
          <w:szCs w:val="28"/>
        </w:rPr>
        <w:t>Dataset Description:</w:t>
      </w:r>
      <w:bookmarkStart w:id="0" w:name="_GoBack"/>
      <w:bookmarkEnd w:id="0"/>
    </w:p>
    <w:p w:rsidR="00E748F7" w:rsidRDefault="001D0AE2" w:rsidP="00BE0CDC">
      <w:pPr>
        <w:pStyle w:val="Standard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Dataset Name:  </w:t>
      </w:r>
      <w:r>
        <w:rPr>
          <w:rFonts w:ascii="Times New Roman" w:hAnsi="Times New Roman" w:cs="Times New Roman"/>
          <w:sz w:val="28"/>
          <w:szCs w:val="28"/>
        </w:rPr>
        <w:t>Insurance.csv</w:t>
      </w:r>
    </w:p>
    <w:p w:rsidR="00E748F7" w:rsidRDefault="001D0AE2">
      <w:pPr>
        <w:pStyle w:val="NormalWeb"/>
        <w:shd w:val="clear" w:color="auto" w:fill="FFFFFF"/>
        <w:spacing w:before="0" w:after="0"/>
        <w:ind w:firstLine="720"/>
        <w:jc w:val="both"/>
      </w:pPr>
      <w:r>
        <w:rPr>
          <w:rFonts w:eastAsia="Calibri"/>
          <w:sz w:val="28"/>
          <w:szCs w:val="28"/>
        </w:rPr>
        <w:t xml:space="preserve">The dataset is about the largest auto and homeowner insurance companies, </w:t>
      </w:r>
      <w:hyperlink r:id="rId8" w:history="1">
        <w:r>
          <w:rPr>
            <w:rFonts w:eastAsia="Calibri"/>
            <w:sz w:val="28"/>
            <w:szCs w:val="28"/>
          </w:rPr>
          <w:t>Porto Seguro</w:t>
        </w:r>
      </w:hyperlink>
      <w:r>
        <w:rPr>
          <w:rFonts w:eastAsia="Calibri"/>
          <w:sz w:val="28"/>
          <w:szCs w:val="28"/>
        </w:rPr>
        <w:t xml:space="preserve"> in Brazil. Inaccuracies in car insurance company’s claim predictions raise the cost of insurance for good drivers and reduce the price for bad ones.</w:t>
      </w:r>
      <w:r w:rsidR="00BE0CD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It contains the data, where each row corresponds to a policy holder, and the target columns signifies that a claim was filed.</w:t>
      </w:r>
    </w:p>
    <w:p w:rsidR="00E748F7" w:rsidRDefault="001D0AE2">
      <w:pPr>
        <w:pStyle w:val="NormalWeb"/>
        <w:shd w:val="clear" w:color="auto" w:fill="FFFFFF"/>
        <w:spacing w:before="158" w:after="0"/>
        <w:ind w:firstLine="720"/>
        <w:jc w:val="both"/>
      </w:pPr>
      <w:r>
        <w:rPr>
          <w:rFonts w:eastAsia="Calibri"/>
          <w:sz w:val="28"/>
          <w:szCs w:val="28"/>
        </w:rPr>
        <w:t>We are to build a model that predicts the probability that a driver will initiate an auto insurance claim in the next year.</w:t>
      </w:r>
      <w:r w:rsidR="00BE0CD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A more accurate prediction will allow them to further tailor their prices, and hopefully make auto insurance coverage more accessible to more drivers.</w:t>
      </w:r>
    </w:p>
    <w:p w:rsidR="00E748F7" w:rsidRDefault="00E748F7">
      <w:pPr>
        <w:pStyle w:val="Standard"/>
        <w:jc w:val="both"/>
      </w:pPr>
    </w:p>
    <w:p w:rsidR="00E748F7" w:rsidRDefault="001D0AE2" w:rsidP="00BE0CDC">
      <w:pPr>
        <w:pStyle w:val="Standard"/>
        <w:numPr>
          <w:ilvl w:val="0"/>
          <w:numId w:val="5"/>
        </w:numPr>
        <w:shd w:val="clear" w:color="auto" w:fill="FFFFFF"/>
        <w:spacing w:before="158" w:after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Columns and Rows:</w:t>
      </w:r>
      <w:r>
        <w:rPr>
          <w:rFonts w:ascii="Times New Roman" w:hAnsi="Times New Roman" w:cs="Times New Roman"/>
          <w:sz w:val="28"/>
          <w:szCs w:val="28"/>
        </w:rPr>
        <w:t xml:space="preserve"> 595k rows </w:t>
      </w:r>
      <w:r w:rsidR="00BE0CD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nd 59 columns</w:t>
      </w:r>
    </w:p>
    <w:p w:rsidR="00E748F7" w:rsidRDefault="001D0AE2">
      <w:pPr>
        <w:pStyle w:val="NormalWeb"/>
        <w:shd w:val="clear" w:color="auto" w:fill="FFFFFF"/>
        <w:spacing w:before="158" w:after="0"/>
        <w:jc w:val="both"/>
      </w:pPr>
      <w:r>
        <w:rPr>
          <w:rFonts w:eastAsia="Calibri"/>
          <w:b/>
          <w:bCs/>
          <w:sz w:val="28"/>
          <w:szCs w:val="28"/>
        </w:rPr>
        <w:t>Problem Statement:</w:t>
      </w:r>
    </w:p>
    <w:p w:rsidR="00E748F7" w:rsidRDefault="001D0AE2" w:rsidP="00C377AD">
      <w:pPr>
        <w:pStyle w:val="Standard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 w:rsidRPr="000F355B">
        <w:rPr>
          <w:rFonts w:ascii="Times New Roman" w:hAnsi="Times New Roman" w:cs="Times New Roman"/>
          <w:sz w:val="28"/>
          <w:szCs w:val="28"/>
        </w:rPr>
        <w:t>The aim of the</w:t>
      </w:r>
      <w:r w:rsidR="00BE0CDC" w:rsidRPr="000F355B">
        <w:rPr>
          <w:rFonts w:ascii="Times New Roman" w:hAnsi="Times New Roman" w:cs="Times New Roman"/>
          <w:sz w:val="28"/>
          <w:szCs w:val="28"/>
        </w:rPr>
        <w:t xml:space="preserve"> study is to predict the probab</w:t>
      </w:r>
      <w:r w:rsidRPr="000F355B">
        <w:rPr>
          <w:rFonts w:ascii="Times New Roman" w:hAnsi="Times New Roman" w:cs="Times New Roman"/>
          <w:sz w:val="28"/>
          <w:szCs w:val="28"/>
        </w:rPr>
        <w:t>ility whether the driver will make an insurance claim with the purpose of providing the fairer insurance cost on the basis of individual driving habits.</w:t>
      </w:r>
      <w:r w:rsidR="00BE0CDC" w:rsidRPr="000F355B">
        <w:rPr>
          <w:rFonts w:ascii="Times New Roman" w:hAnsi="Times New Roman" w:cs="Times New Roman"/>
          <w:sz w:val="28"/>
          <w:szCs w:val="28"/>
        </w:rPr>
        <w:t xml:space="preserve"> </w:t>
      </w:r>
      <w:r w:rsidRPr="000F355B">
        <w:rPr>
          <w:rFonts w:ascii="Times New Roman" w:hAnsi="Times New Roman" w:cs="Times New Roman"/>
          <w:sz w:val="28"/>
          <w:szCs w:val="28"/>
        </w:rPr>
        <w:t>We will be pr</w:t>
      </w:r>
      <w:r w:rsidR="00BE0CDC" w:rsidRPr="000F355B">
        <w:rPr>
          <w:rFonts w:ascii="Times New Roman" w:hAnsi="Times New Roman" w:cs="Times New Roman"/>
          <w:sz w:val="28"/>
          <w:szCs w:val="28"/>
        </w:rPr>
        <w:t>edicting whether</w:t>
      </w:r>
      <w:r w:rsidRPr="000F355B">
        <w:rPr>
          <w:rFonts w:ascii="Times New Roman" w:hAnsi="Times New Roman" w:cs="Times New Roman"/>
          <w:sz w:val="28"/>
          <w:szCs w:val="28"/>
        </w:rPr>
        <w:t xml:space="preserve"> a claim will be filed (target = 1) or not (target = 0).</w:t>
      </w:r>
      <w:r w:rsidR="00BE0CDC" w:rsidRPr="000F355B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="000F355B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dataset </w:t>
      </w:r>
      <w:r w:rsidR="00BE0CDC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>comes under binary classification</w:t>
      </w:r>
      <w:r w:rsidR="00B004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dataset being imbalanced is subjected to balanced condition by applying various features</w:t>
      </w:r>
      <w:r w:rsidR="00B00495">
        <w:rPr>
          <w:rFonts w:ascii="Times New Roman" w:hAnsi="Times New Roman" w:cs="Times New Roman"/>
          <w:sz w:val="28"/>
          <w:szCs w:val="28"/>
        </w:rPr>
        <w:t>.</w:t>
      </w:r>
      <w:r w:rsidR="00A43DC5">
        <w:rPr>
          <w:rFonts w:ascii="Times New Roman" w:hAnsi="Times New Roman" w:cs="Times New Roman"/>
          <w:sz w:val="28"/>
          <w:szCs w:val="28"/>
        </w:rPr>
        <w:t xml:space="preserve"> </w:t>
      </w:r>
      <w:r w:rsidR="000F355B" w:rsidRP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So we are to set up models according to the </w:t>
      </w:r>
      <w:r w:rsidR="000F355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dataset and predict whether the drivers will initiate an insurance claim in the next year.</w:t>
      </w:r>
      <w:r w:rsidR="00B0049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377AD" w:rsidRPr="00C377AD" w:rsidRDefault="00C377AD" w:rsidP="00C377AD">
      <w:pPr>
        <w:pStyle w:val="Standard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748F7" w:rsidRDefault="001D0AE2">
      <w:pPr>
        <w:pStyle w:val="Standard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Table Columns are:</w:t>
      </w:r>
    </w:p>
    <w:p w:rsidR="00E748F7" w:rsidRDefault="001D0AE2" w:rsidP="00BE0CDC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 Id,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Target,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ps_ind_01,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ps_ind_02_cat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_ind_03,ps_ind_04_cat,ps_ind_05_cat,</w:t>
      </w:r>
    </w:p>
    <w:p w:rsidR="00E748F7" w:rsidRDefault="001D0AE2" w:rsidP="00BE0CDC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sz w:val="28"/>
          <w:szCs w:val="28"/>
        </w:rPr>
        <w:t>ps_ind_06_bin,</w:t>
      </w:r>
      <w:r w:rsidR="00BE0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ps_ind_07_bin,ps_ind_08_bin,ps_ind_09_bin,ps_ind_10_bin,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ps_ind_11_bin,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ps_ind_12_bin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_ind_13_bin,ps_ind_14,ps_ind_15,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ps_ind_16_bin,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ps_ind_17_bin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_ind_18_bin,ps_reg_01,ps_reg_02,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ps_reg_03ps_car_01_cat,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ps_car_02_cat,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ps_car_03_cat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_car_04_cat,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ps_car_05_cat,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ps_car_06_cat,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ps_car_07_cat,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ps_car_08_cat,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ps_car_09_cat,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ps_car_10_cat,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ps_car_11_cat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_car_11,ps_car_12,ps_car_13,ps_car_14,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ps_car_15,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ps_calc_01,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ps_calc_02,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ps_calc_03,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ps_calc_04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_calc_05,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ps_calc_06,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ps_calc_07,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ps_calc_08,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ps_calc_09,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ps_calc_10,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ps_calc_11,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ps_calc_12,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ps_calc_13,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ps_calc_14,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ps_calc_15_bin,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ps_calc_16_bin,</w:t>
      </w:r>
    </w:p>
    <w:p w:rsidR="00E748F7" w:rsidRDefault="001D0AE2" w:rsidP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ps_calc_17_bin</w:t>
      </w:r>
      <w:proofErr w:type="gramStart"/>
      <w:r>
        <w:rPr>
          <w:rFonts w:ascii="Times New Roman" w:hAnsi="Times New Roman" w:cs="Times New Roman"/>
          <w:sz w:val="28"/>
          <w:szCs w:val="28"/>
        </w:rPr>
        <w:t>,ps</w:t>
      </w:r>
      <w:proofErr w:type="gramEnd"/>
      <w:r>
        <w:rPr>
          <w:rFonts w:ascii="Times New Roman" w:hAnsi="Times New Roman" w:cs="Times New Roman"/>
          <w:sz w:val="28"/>
          <w:szCs w:val="28"/>
        </w:rPr>
        <w:t>_calc_18_bin,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ps_calc_19_bin,</w:t>
      </w:r>
      <w:r w:rsidR="000F35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ps_calc_20_bin.</w:t>
      </w:r>
    </w:p>
    <w:p w:rsidR="00E748F7" w:rsidRDefault="00E748F7">
      <w:pPr>
        <w:pStyle w:val="Standard"/>
        <w:shd w:val="clear" w:color="auto" w:fill="FFFFFF"/>
        <w:spacing w:after="0" w:line="240" w:lineRule="auto"/>
        <w:jc w:val="both"/>
      </w:pPr>
    </w:p>
    <w:p w:rsidR="00E748F7" w:rsidRDefault="001D0AE2">
      <w:pPr>
        <w:pStyle w:val="Standard"/>
        <w:shd w:val="clear" w:color="auto" w:fill="FFFFFF"/>
        <w:jc w:val="both"/>
      </w:pPr>
      <w:r>
        <w:rPr>
          <w:rFonts w:ascii="Times New Roman" w:hAnsi="Times New Roman" w:cs="Times New Roman"/>
          <w:b/>
          <w:sz w:val="28"/>
          <w:szCs w:val="28"/>
        </w:rPr>
        <w:t>Column Details:</w:t>
      </w:r>
    </w:p>
    <w:p w:rsidR="00E748F7" w:rsidRDefault="00BE0CDC">
      <w:pPr>
        <w:pStyle w:val="Standard"/>
        <w:shd w:val="clear" w:color="auto" w:fill="FFFFFF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 xml:space="preserve">In the table, the </w:t>
      </w:r>
      <w:r w:rsidR="001D0AE2">
        <w:rPr>
          <w:rFonts w:ascii="Times New Roman" w:hAnsi="Times New Roman" w:cs="Times New Roman"/>
          <w:sz w:val="28"/>
          <w:szCs w:val="28"/>
        </w:rPr>
        <w:t xml:space="preserve">features that belong to similar groupings are tagged as </w:t>
      </w:r>
      <w:r>
        <w:rPr>
          <w:rFonts w:ascii="Times New Roman" w:hAnsi="Times New Roman" w:cs="Times New Roman"/>
          <w:sz w:val="28"/>
          <w:szCs w:val="28"/>
        </w:rPr>
        <w:t xml:space="preserve">such in the feature names (e.g. </w:t>
      </w:r>
      <w:proofErr w:type="spellStart"/>
      <w:r w:rsidR="001D0AE2">
        <w:rPr>
          <w:rFonts w:ascii="Times New Roman" w:hAnsi="Times New Roman" w:cs="Times New Roman"/>
          <w:sz w:val="28"/>
          <w:szCs w:val="28"/>
        </w:rPr>
        <w:t>ind</w:t>
      </w:r>
      <w:proofErr w:type="gramStart"/>
      <w:r w:rsidR="001D0AE2">
        <w:rPr>
          <w:rFonts w:ascii="Times New Roman" w:hAnsi="Times New Roman" w:cs="Times New Roman"/>
          <w:sz w:val="28"/>
          <w:szCs w:val="28"/>
        </w:rPr>
        <w:t>,reg,car,calc</w:t>
      </w:r>
      <w:proofErr w:type="spellEnd"/>
      <w:proofErr w:type="gramEnd"/>
      <w:r w:rsidR="001D0AE2">
        <w:rPr>
          <w:rFonts w:ascii="Times New Roman" w:hAnsi="Times New Roman" w:cs="Times New Roman"/>
          <w:sz w:val="28"/>
          <w:szCs w:val="28"/>
        </w:rPr>
        <w:t xml:space="preserve">). In addition, feature names include the postfix </w:t>
      </w:r>
      <w:r w:rsidR="001D0AE2">
        <w:rPr>
          <w:rFonts w:ascii="Times New Roman" w:hAnsi="Times New Roman" w:cs="Times New Roman"/>
          <w:b/>
          <w:bCs/>
          <w:sz w:val="28"/>
          <w:szCs w:val="28"/>
        </w:rPr>
        <w:t xml:space="preserve">bin </w:t>
      </w:r>
      <w:r w:rsidR="001D0AE2">
        <w:rPr>
          <w:rFonts w:ascii="Times New Roman" w:hAnsi="Times New Roman" w:cs="Times New Roman"/>
          <w:sz w:val="28"/>
          <w:szCs w:val="28"/>
        </w:rPr>
        <w:t xml:space="preserve">to indicate binary features and </w:t>
      </w:r>
      <w:r w:rsidR="001D0AE2">
        <w:rPr>
          <w:rFonts w:ascii="Times New Roman" w:hAnsi="Times New Roman" w:cs="Times New Roman"/>
          <w:b/>
          <w:bCs/>
          <w:sz w:val="28"/>
          <w:szCs w:val="28"/>
        </w:rPr>
        <w:t xml:space="preserve">cat </w:t>
      </w:r>
      <w:r w:rsidR="001D0AE2">
        <w:rPr>
          <w:rFonts w:ascii="Times New Roman" w:hAnsi="Times New Roman" w:cs="Times New Roman"/>
          <w:sz w:val="28"/>
          <w:szCs w:val="28"/>
        </w:rPr>
        <w:t>to indicate categorical features. Features without these designations are either continuous or ordinal. Values of -1 indicate that the feature was missing from the observation. The target column signifies whether or not a claim was filed for that policy holder.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48F7" w:rsidRDefault="001D0AE2">
      <w:pPr>
        <w:pStyle w:val="NormalWeb"/>
        <w:shd w:val="clear" w:color="auto" w:fill="FFFFFF"/>
        <w:spacing w:before="158" w:after="0"/>
        <w:jc w:val="both"/>
        <w:rPr>
          <w:b/>
          <w:bCs/>
        </w:rPr>
      </w:pPr>
      <w:r>
        <w:rPr>
          <w:rFonts w:eastAsia="Calibri"/>
          <w:b/>
          <w:bCs/>
          <w:sz w:val="28"/>
          <w:szCs w:val="28"/>
        </w:rPr>
        <w:t>Result:</w:t>
      </w:r>
    </w:p>
    <w:p w:rsidR="00B00495" w:rsidRPr="00B00495" w:rsidRDefault="00603B34" w:rsidP="00B00495">
      <w:pPr>
        <w:pStyle w:val="NormalWeb"/>
        <w:shd w:val="clear" w:color="auto" w:fill="FFFFFF"/>
        <w:spacing w:before="158" w:after="0"/>
        <w:ind w:firstLine="720"/>
        <w:jc w:val="both"/>
        <w:rPr>
          <w:bCs/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We have studied and analyzed the dataset and applied various plotting techniques and features for the prediction. Setting up </w:t>
      </w:r>
      <w:r w:rsidR="00B00495" w:rsidRPr="00B00495">
        <w:rPr>
          <w:bCs/>
          <w:sz w:val="28"/>
          <w:szCs w:val="28"/>
        </w:rPr>
        <w:t xml:space="preserve">five models with respect to the </w:t>
      </w:r>
      <w:r>
        <w:rPr>
          <w:bCs/>
          <w:sz w:val="28"/>
          <w:szCs w:val="28"/>
        </w:rPr>
        <w:t>dataset availed for study. Among such models the model with respect to logistic regression was considered as the suitable model for our prediction.</w:t>
      </w:r>
    </w:p>
    <w:p w:rsidR="00B00495" w:rsidRDefault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1403"/>
        <w:gridCol w:w="1890"/>
        <w:gridCol w:w="1620"/>
        <w:gridCol w:w="1440"/>
      </w:tblGrid>
      <w:tr w:rsidR="003E604B" w:rsidTr="003E604B">
        <w:trPr>
          <w:trHeight w:val="620"/>
        </w:trPr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  <w:color w:val="000000"/>
              </w:rPr>
              <w:t>Model</w:t>
            </w:r>
          </w:p>
        </w:tc>
        <w:tc>
          <w:tcPr>
            <w:tcW w:w="1403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F1 Score (%)</w:t>
            </w:r>
          </w:p>
        </w:tc>
        <w:tc>
          <w:tcPr>
            <w:tcW w:w="189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Accuracy Score (%)</w:t>
            </w:r>
          </w:p>
        </w:tc>
        <w:tc>
          <w:tcPr>
            <w:tcW w:w="162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Recall Score (%)</w:t>
            </w:r>
          </w:p>
        </w:tc>
        <w:tc>
          <w:tcPr>
            <w:tcW w:w="1440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Precision Score (%)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Logistic Regression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56.74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58.60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54.84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58.77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Random Forest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49.54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54.78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44.84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55.35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Decision Tree</w:t>
            </w:r>
          </w:p>
        </w:tc>
        <w:tc>
          <w:tcPr>
            <w:tcW w:w="1403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51.18</w:t>
            </w:r>
          </w:p>
        </w:tc>
        <w:tc>
          <w:tcPr>
            <w:tcW w:w="189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55.19</w:t>
            </w:r>
          </w:p>
        </w:tc>
        <w:tc>
          <w:tcPr>
            <w:tcW w:w="162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47.45</w:t>
            </w:r>
          </w:p>
        </w:tc>
        <w:tc>
          <w:tcPr>
            <w:tcW w:w="144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55.55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</w:rPr>
              <w:t>KNN</w:t>
            </w:r>
          </w:p>
        </w:tc>
        <w:tc>
          <w:tcPr>
            <w:tcW w:w="1403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53.21</w:t>
            </w:r>
          </w:p>
        </w:tc>
        <w:tc>
          <w:tcPr>
            <w:tcW w:w="189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54.16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52.64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53.79</w:t>
            </w:r>
          </w:p>
        </w:tc>
      </w:tr>
      <w:tr w:rsidR="003E604B" w:rsidTr="003E604B">
        <w:tc>
          <w:tcPr>
            <w:tcW w:w="2305" w:type="dxa"/>
          </w:tcPr>
          <w:p w:rsidR="003E604B" w:rsidRPr="003E604B" w:rsidRDefault="003E604B" w:rsidP="00B00495">
            <w:pPr>
              <w:pStyle w:val="NormalWeb"/>
              <w:spacing w:before="158" w:after="0"/>
              <w:jc w:val="center"/>
              <w:rPr>
                <w:b/>
                <w:bCs/>
                <w:color w:val="000000"/>
              </w:rPr>
            </w:pPr>
            <w:r w:rsidRPr="003E604B">
              <w:rPr>
                <w:b/>
                <w:bCs/>
                <w:color w:val="000000"/>
              </w:rPr>
              <w:t>SVC</w:t>
            </w:r>
          </w:p>
        </w:tc>
        <w:tc>
          <w:tcPr>
            <w:tcW w:w="1403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54.91</w:t>
            </w:r>
          </w:p>
        </w:tc>
        <w:tc>
          <w:tcPr>
            <w:tcW w:w="1890" w:type="dxa"/>
          </w:tcPr>
          <w:p w:rsidR="003E604B" w:rsidRPr="00CA7C5C" w:rsidRDefault="003E604B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58.75</w:t>
            </w:r>
          </w:p>
        </w:tc>
        <w:tc>
          <w:tcPr>
            <w:tcW w:w="162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50.72</w:t>
            </w:r>
          </w:p>
        </w:tc>
        <w:tc>
          <w:tcPr>
            <w:tcW w:w="1440" w:type="dxa"/>
          </w:tcPr>
          <w:p w:rsidR="003E604B" w:rsidRPr="00CA7C5C" w:rsidRDefault="00CA7C5C" w:rsidP="00B00495">
            <w:pPr>
              <w:pStyle w:val="NormalWeb"/>
              <w:spacing w:before="158" w:after="0"/>
              <w:jc w:val="center"/>
              <w:rPr>
                <w:bCs/>
                <w:color w:val="000000"/>
                <w:sz w:val="26"/>
                <w:szCs w:val="26"/>
              </w:rPr>
            </w:pPr>
            <w:r w:rsidRPr="00CA7C5C">
              <w:rPr>
                <w:bCs/>
                <w:color w:val="000000"/>
                <w:sz w:val="26"/>
                <w:szCs w:val="26"/>
              </w:rPr>
              <w:t>59.85</w:t>
            </w:r>
          </w:p>
        </w:tc>
      </w:tr>
    </w:tbl>
    <w:p w:rsidR="00E748F7" w:rsidRDefault="00E748F7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603B34" w:rsidRDefault="00603B34" w:rsidP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28"/>
          <w:szCs w:val="28"/>
        </w:rPr>
      </w:pPr>
    </w:p>
    <w:p w:rsidR="00B00495" w:rsidRDefault="00B00495" w:rsidP="00B00495">
      <w:pPr>
        <w:pStyle w:val="NormalWeb"/>
        <w:shd w:val="clear" w:color="auto" w:fill="FFFFFF"/>
        <w:spacing w:before="158" w:after="0"/>
        <w:jc w:val="both"/>
        <w:rPr>
          <w:b/>
          <w:bCs/>
          <w:color w:val="000000"/>
          <w:sz w:val="32"/>
          <w:szCs w:val="32"/>
        </w:rPr>
      </w:pPr>
      <w:r w:rsidRPr="00603B34">
        <w:rPr>
          <w:b/>
          <w:bCs/>
          <w:color w:val="000000"/>
          <w:sz w:val="32"/>
          <w:szCs w:val="32"/>
        </w:rPr>
        <w:t>Conclusion</w:t>
      </w:r>
      <w:r w:rsidR="00603B34">
        <w:rPr>
          <w:b/>
          <w:bCs/>
          <w:color w:val="000000"/>
          <w:sz w:val="32"/>
          <w:szCs w:val="32"/>
        </w:rPr>
        <w:t>:</w:t>
      </w:r>
    </w:p>
    <w:p w:rsidR="00E748F7" w:rsidRPr="005322C3" w:rsidRDefault="00603B34" w:rsidP="005322C3">
      <w:pPr>
        <w:pStyle w:val="NormalWeb"/>
        <w:shd w:val="clear" w:color="auto" w:fill="FFFFFF"/>
        <w:spacing w:before="158" w:after="0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32"/>
          <w:szCs w:val="32"/>
        </w:rPr>
        <w:tab/>
      </w:r>
      <w:r w:rsidR="00ED47F2" w:rsidRPr="00A43DC5">
        <w:rPr>
          <w:bCs/>
          <w:color w:val="000000"/>
          <w:sz w:val="28"/>
          <w:szCs w:val="28"/>
        </w:rPr>
        <w:t xml:space="preserve">The journey of mini project was having </w:t>
      </w:r>
      <w:r w:rsidRPr="00A43DC5">
        <w:rPr>
          <w:bCs/>
          <w:color w:val="000000"/>
          <w:sz w:val="28"/>
          <w:szCs w:val="28"/>
        </w:rPr>
        <w:t xml:space="preserve">some sort of mysterious </w:t>
      </w:r>
      <w:r w:rsidR="00ED47F2" w:rsidRPr="00A43DC5">
        <w:rPr>
          <w:bCs/>
          <w:color w:val="000000"/>
          <w:sz w:val="28"/>
          <w:szCs w:val="28"/>
        </w:rPr>
        <w:t xml:space="preserve">nature. The dataset availed was an unbalanced one containing 595k rows and </w:t>
      </w:r>
      <w:r w:rsidR="00A43DC5" w:rsidRPr="00A43DC5">
        <w:rPr>
          <w:bCs/>
          <w:color w:val="000000"/>
          <w:sz w:val="28"/>
          <w:szCs w:val="28"/>
        </w:rPr>
        <w:t xml:space="preserve">59 columns to predict </w:t>
      </w:r>
      <w:r w:rsidR="00A43DC5" w:rsidRPr="00A43DC5">
        <w:rPr>
          <w:rFonts w:eastAsia="Calibri"/>
          <w:sz w:val="28"/>
          <w:szCs w:val="28"/>
        </w:rPr>
        <w:t>the probability whether the driver will make an insurance claim with the purpose of providing the fairer insurance cost</w:t>
      </w:r>
      <w:r w:rsidR="00A43DC5">
        <w:rPr>
          <w:rFonts w:eastAsia="Calibri"/>
          <w:sz w:val="28"/>
          <w:szCs w:val="28"/>
        </w:rPr>
        <w:t xml:space="preserve"> subjected to the company. In the preprocessing stage we have dropped less correlated columns, the columns having null values and also replaced the null values with </w:t>
      </w:r>
      <w:proofErr w:type="spellStart"/>
      <w:r w:rsidR="00A43DC5">
        <w:rPr>
          <w:rFonts w:eastAsia="Calibri"/>
          <w:sz w:val="28"/>
          <w:szCs w:val="28"/>
        </w:rPr>
        <w:t>NaN</w:t>
      </w:r>
      <w:proofErr w:type="spellEnd"/>
      <w:r w:rsidR="00A43DC5">
        <w:rPr>
          <w:rFonts w:eastAsia="Calibri"/>
          <w:sz w:val="28"/>
          <w:szCs w:val="28"/>
        </w:rPr>
        <w:t xml:space="preserve"> values. The most important step regarding our study was random under</w:t>
      </w:r>
      <w:r w:rsidR="005322C3">
        <w:rPr>
          <w:rFonts w:eastAsia="Calibri"/>
          <w:sz w:val="28"/>
          <w:szCs w:val="28"/>
        </w:rPr>
        <w:t xml:space="preserve"> </w:t>
      </w:r>
      <w:r w:rsidR="00A43DC5">
        <w:rPr>
          <w:rFonts w:eastAsia="Calibri"/>
          <w:sz w:val="28"/>
          <w:szCs w:val="28"/>
        </w:rPr>
        <w:t xml:space="preserve">sampling because the dataset was highly imbalanced. However we tackled it </w:t>
      </w:r>
      <w:r w:rsidR="005322C3">
        <w:rPr>
          <w:rFonts w:eastAsia="Calibri"/>
          <w:sz w:val="28"/>
          <w:szCs w:val="28"/>
        </w:rPr>
        <w:t xml:space="preserve">taking equal set of zero value rows and one target value rows by doing under sampling .Thus regarding our study </w:t>
      </w:r>
      <w:r w:rsidR="00671BBC">
        <w:rPr>
          <w:rFonts w:eastAsia="Calibri"/>
          <w:sz w:val="28"/>
          <w:szCs w:val="28"/>
        </w:rPr>
        <w:t>by choosing logistic regression model as the suitable one,</w:t>
      </w:r>
      <w:r w:rsidR="005322C3">
        <w:rPr>
          <w:rFonts w:eastAsia="Calibri"/>
          <w:sz w:val="28"/>
          <w:szCs w:val="28"/>
        </w:rPr>
        <w:t xml:space="preserve"> we came to the conclusion</w:t>
      </w:r>
      <w:r w:rsidR="00435775">
        <w:rPr>
          <w:rFonts w:eastAsia="Calibri"/>
          <w:sz w:val="28"/>
          <w:szCs w:val="28"/>
        </w:rPr>
        <w:t xml:space="preserve"> that more drivers</w:t>
      </w:r>
      <w:r w:rsidR="005322C3">
        <w:rPr>
          <w:rFonts w:eastAsia="Calibri"/>
          <w:sz w:val="28"/>
          <w:szCs w:val="28"/>
        </w:rPr>
        <w:t xml:space="preserve"> will initiate an auto insurance claim</w:t>
      </w:r>
      <w:r w:rsidR="005322C3">
        <w:t xml:space="preserve"> </w:t>
      </w:r>
      <w:r w:rsidR="005322C3" w:rsidRPr="005322C3">
        <w:rPr>
          <w:sz w:val="28"/>
          <w:szCs w:val="28"/>
        </w:rPr>
        <w:t>in the next year</w:t>
      </w:r>
      <w:r w:rsidR="00435775">
        <w:rPr>
          <w:sz w:val="28"/>
          <w:szCs w:val="28"/>
        </w:rPr>
        <w:t xml:space="preserve"> than the current year.</w:t>
      </w:r>
    </w:p>
    <w:sectPr w:rsidR="00E748F7" w:rsidRPr="005322C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7C3" w:rsidRDefault="003247C3">
      <w:r>
        <w:separator/>
      </w:r>
    </w:p>
  </w:endnote>
  <w:endnote w:type="continuationSeparator" w:id="0">
    <w:p w:rsidR="003247C3" w:rsidRDefault="00324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Liberation Serif">
    <w:charset w:val="00"/>
    <w:family w:val="roman"/>
    <w:pitch w:val="variable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default"/>
  </w:font>
  <w:font w:name="Liberation Mono">
    <w:charset w:val="00"/>
    <w:family w:val="modern"/>
    <w:pitch w:val="fixed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7C3" w:rsidRDefault="003247C3">
      <w:r>
        <w:rPr>
          <w:color w:val="000000"/>
        </w:rPr>
        <w:separator/>
      </w:r>
    </w:p>
  </w:footnote>
  <w:footnote w:type="continuationSeparator" w:id="0">
    <w:p w:rsidR="003247C3" w:rsidRDefault="003247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40335"/>
    <w:multiLevelType w:val="hybridMultilevel"/>
    <w:tmpl w:val="5560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523DD"/>
    <w:multiLevelType w:val="hybridMultilevel"/>
    <w:tmpl w:val="71205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908BD"/>
    <w:multiLevelType w:val="multilevel"/>
    <w:tmpl w:val="B324EE8E"/>
    <w:styleLink w:val="WWNum1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5A0400A"/>
    <w:multiLevelType w:val="multilevel"/>
    <w:tmpl w:val="142C2DF6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3"/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748F7"/>
    <w:rsid w:val="000F355B"/>
    <w:rsid w:val="001D0AE2"/>
    <w:rsid w:val="003247C3"/>
    <w:rsid w:val="00337D0B"/>
    <w:rsid w:val="003B4E75"/>
    <w:rsid w:val="003E604B"/>
    <w:rsid w:val="003F5573"/>
    <w:rsid w:val="00435775"/>
    <w:rsid w:val="0050458F"/>
    <w:rsid w:val="005322C3"/>
    <w:rsid w:val="005A7563"/>
    <w:rsid w:val="005D5AD3"/>
    <w:rsid w:val="00603B34"/>
    <w:rsid w:val="00660334"/>
    <w:rsid w:val="00671BBC"/>
    <w:rsid w:val="007503A2"/>
    <w:rsid w:val="00804F95"/>
    <w:rsid w:val="008A473F"/>
    <w:rsid w:val="0095674D"/>
    <w:rsid w:val="00A43DC5"/>
    <w:rsid w:val="00A478A8"/>
    <w:rsid w:val="00B00495"/>
    <w:rsid w:val="00B541C0"/>
    <w:rsid w:val="00BE0CDC"/>
    <w:rsid w:val="00C377AD"/>
    <w:rsid w:val="00CA7C5C"/>
    <w:rsid w:val="00E748F7"/>
    <w:rsid w:val="00ED47F2"/>
    <w:rsid w:val="00F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Standard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dataexplorercolumnscolumnname-sc-1tzfrn7">
    <w:name w:val="dataexplorercolumns_columnname-sc-1tzfrn7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hAnsi="Times New Roman" w:cs="Times New Roman"/>
      <w:sz w:val="28"/>
      <w:szCs w:val="28"/>
    </w:rPr>
  </w:style>
  <w:style w:type="character" w:customStyle="1" w:styleId="ListLabel5">
    <w:name w:val="ListLabel 5"/>
    <w:rPr>
      <w:rFonts w:eastAsia="Calibri"/>
      <w:sz w:val="28"/>
      <w:szCs w:val="2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BE0CDC"/>
    <w:rPr>
      <w:color w:val="0000FF"/>
      <w:u w:val="single"/>
    </w:rPr>
  </w:style>
  <w:style w:type="table" w:styleId="TableGrid">
    <w:name w:val="Table Grid"/>
    <w:basedOn w:val="TableNormal"/>
    <w:uiPriority w:val="59"/>
    <w:rsid w:val="00B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7D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F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rFonts w:ascii="Liberation Serif" w:eastAsia="DejaVu Sans" w:hAnsi="Liberation Serif" w:cs="DejaVu Sans"/>
      <w:b/>
      <w:bCs/>
      <w:sz w:val="48"/>
      <w:szCs w:val="48"/>
    </w:rPr>
  </w:style>
  <w:style w:type="paragraph" w:styleId="Heading2">
    <w:name w:val="heading 2"/>
    <w:basedOn w:val="Standard"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NormalWeb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rPr>
      <w:b/>
      <w:bCs/>
    </w:rPr>
  </w:style>
  <w:style w:type="character" w:styleId="HTMLCode">
    <w:name w:val="HTML Code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dataexplorercolumnscolumnname-sc-1tzfrn7">
    <w:name w:val="dataexplorercolumns_columnname-sc-1tzfrn7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ascii="Times New Roman" w:hAnsi="Times New Roman" w:cs="Times New Roman"/>
      <w:sz w:val="28"/>
      <w:szCs w:val="28"/>
    </w:rPr>
  </w:style>
  <w:style w:type="character" w:customStyle="1" w:styleId="ListLabel5">
    <w:name w:val="ListLabel 5"/>
    <w:rPr>
      <w:rFonts w:eastAsia="Calibri"/>
      <w:sz w:val="28"/>
      <w:szCs w:val="28"/>
    </w:rPr>
  </w:style>
  <w:style w:type="character" w:styleId="Emphasis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Liberation Mono" w:hAnsi="Liberation Mono" w:cs="Liberation Mono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BE0CDC"/>
    <w:rPr>
      <w:color w:val="0000FF"/>
      <w:u w:val="single"/>
    </w:rPr>
  </w:style>
  <w:style w:type="table" w:styleId="TableGrid">
    <w:name w:val="Table Grid"/>
    <w:basedOn w:val="TableNormal"/>
    <w:uiPriority w:val="59"/>
    <w:rsid w:val="00B00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37D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oseguro.com.b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Zarina Basheer</dc:creator>
  <cp:lastModifiedBy>Zarina Basheer</cp:lastModifiedBy>
  <cp:revision>2</cp:revision>
  <dcterms:created xsi:type="dcterms:W3CDTF">2019-12-20T14:11:00Z</dcterms:created>
  <dcterms:modified xsi:type="dcterms:W3CDTF">2019-12-20T14:11:00Z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