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CarePath AI | Technical implementation brief</w:t>
      </w:r>
    </w:p>
    <w:p>
      <w:r>
        <w:t>UWE Responsible AI Hackathon  |  Team working document  |  Scope begins at architecture (section 2)</w:t>
      </w:r>
    </w:p>
    <w:p>
      <w:r>
        <w:t>Objective: demonstrate a privacy first, evidence grounded blood test explanation journey using synthetic reports. The system explains terminology and measurements, but does not diagnose or prescribe.</w:t>
      </w:r>
    </w:p>
    <w:p>
      <w:pPr>
        <w:pStyle w:val="Heading1"/>
      </w:pPr>
      <w:r>
        <w:t>2. Bounded agentic architecture</w:t>
      </w:r>
    </w:p>
    <w:p>
      <w:r>
        <w:t>Use one LangGraph workflow with specialised tools, deterministic approval gates and limited LLM responsibilities. Do not build several independent autonomous agents.</w:t>
      </w:r>
    </w:p>
    <w:p>
      <w:r>
        <w:rPr>
          <w:b/>
        </w:rPr>
        <w:t xml:space="preserve">1  Consent and secure intake  </w:t>
      </w:r>
      <w:r>
        <w:t>User reviews data handling terms and uploads a synthetic blood report.</w:t>
      </w:r>
    </w:p>
    <w:p>
      <w:r>
        <w:rPr>
          <w:b/>
        </w:rPr>
        <w:t xml:space="preserve">2  Extract and redact  </w:t>
      </w:r>
      <w:r>
        <w:t>OCR extracts values, units and reference ranges; Microsoft Presidio redacts identifiers from text and images.</w:t>
      </w:r>
    </w:p>
    <w:p>
      <w:r>
        <w:rPr>
          <w:b/>
        </w:rPr>
        <w:t xml:space="preserve">3  Patient confirmation  </w:t>
      </w:r>
      <w:r>
        <w:t>Show both the redacted report and extracted measurements. Pause processing until the user approves or rejects.</w:t>
      </w:r>
    </w:p>
    <w:p>
      <w:r>
        <w:rPr>
          <w:b/>
        </w:rPr>
        <w:t xml:space="preserve">4  Evidence retrieval  </w:t>
      </w:r>
      <w:r>
        <w:t>Search permitted NHS information; use NICE content only where licensing or permission allows.</w:t>
      </w:r>
    </w:p>
    <w:p>
      <w:r>
        <w:rPr>
          <w:b/>
        </w:rPr>
        <w:t xml:space="preserve">5  Explain and validate  </w:t>
      </w:r>
      <w:r>
        <w:t>Small local model provides plain language explanation; validate citations and block unsupported claims or prescription requests.</w:t>
      </w:r>
    </w:p>
    <w:p>
      <w:r>
        <w:rPr>
          <w:b/>
        </w:rPr>
        <w:t xml:space="preserve">6  Follow up or end  </w:t>
      </w:r>
      <w:r>
        <w:t>Allow bounded follow up questions using redacted confirmed data, or end the session.</w:t>
      </w:r>
    </w:p>
    <w:p>
      <w:r>
        <w:rPr>
          <w:b/>
        </w:rPr>
        <w:t xml:space="preserve">7  Verified deletion  </w:t>
      </w:r>
      <w:r>
        <w:t>Delete originals and derived sensitive artefacts, then report actual deletion status.</w:t>
      </w:r>
    </w:p>
    <w:p>
      <w:r>
        <w:t>Failure paths: failed or uncertain OCR → correction or abstention; failed redaction → stop; no relevant source → abstain; unsafe medical request → redirect to clinician; deletion failure → show error, never claim success.</w:t>
      </w:r>
    </w:p>
    <w:p>
      <w:pPr>
        <w:pStyle w:val="Heading1"/>
      </w:pPr>
      <w:r>
        <w:t>3. Tool stack and ownership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t>Tool / function</w:t>
            </w:r>
          </w:p>
        </w:tc>
        <w:tc>
          <w:tcPr>
            <w:tcW w:type="dxa" w:w="3331"/>
            <w:vAlign w:val="center"/>
          </w:tcPr>
          <w:p>
            <w:r>
              <w:t>Suggested implementation</w:t>
            </w:r>
          </w:p>
        </w:tc>
        <w:tc>
          <w:tcPr>
            <w:tcW w:type="dxa" w:w="3331"/>
            <w:vAlign w:val="center"/>
          </w:tcPr>
          <w:p>
            <w:r>
              <w:t>Owner</w:t>
            </w:r>
          </w:p>
        </w:tc>
      </w:tr>
      <w:tr>
        <w:tc>
          <w:tcPr>
            <w:tcW w:type="dxa" w:w="3331"/>
            <w:vAlign w:val="center"/>
          </w:tcPr>
          <w:p>
            <w:r>
              <w:t>extract_report()</w:t>
            </w:r>
          </w:p>
        </w:tc>
        <w:tc>
          <w:tcPr>
            <w:tcW w:type="dxa" w:w="3331"/>
            <w:vAlign w:val="center"/>
          </w:tcPr>
          <w:p>
            <w:r>
              <w:t>Tesseract + Pillow; structured values and OCR uncertainty</w:t>
            </w:r>
          </w:p>
        </w:tc>
        <w:tc>
          <w:tcPr>
            <w:tcW w:type="dxa" w:w="3331"/>
            <w:vAlign w:val="center"/>
          </w:tcPr>
          <w:p>
            <w:r>
              <w:t>Member 1</w:t>
            </w:r>
          </w:p>
        </w:tc>
      </w:tr>
      <w:tr>
        <w:tc>
          <w:tcPr>
            <w:tcW w:type="dxa" w:w="3331"/>
            <w:vAlign w:val="center"/>
          </w:tcPr>
          <w:p>
            <w:r>
              <w:t>redact_report()</w:t>
            </w:r>
          </w:p>
        </w:tc>
        <w:tc>
          <w:tcPr>
            <w:tcW w:type="dxa" w:w="3331"/>
            <w:vAlign w:val="center"/>
          </w:tcPr>
          <w:p>
            <w:r>
              <w:t>Presidio Analyzer, Anonymizer and Image Redactor</w:t>
            </w:r>
          </w:p>
        </w:tc>
        <w:tc>
          <w:tcPr>
            <w:tcW w:type="dxa" w:w="3331"/>
            <w:vAlign w:val="center"/>
          </w:tcPr>
          <w:p>
            <w:r>
              <w:t>Member 1</w:t>
            </w:r>
          </w:p>
        </w:tc>
      </w:tr>
      <w:tr>
        <w:tc>
          <w:tcPr>
            <w:tcW w:type="dxa" w:w="3331"/>
            <w:vAlign w:val="center"/>
          </w:tcPr>
          <w:p>
            <w:r>
              <w:t>confirm_report()</w:t>
            </w:r>
          </w:p>
        </w:tc>
        <w:tc>
          <w:tcPr>
            <w:tcW w:type="dxa" w:w="3331"/>
            <w:vAlign w:val="center"/>
          </w:tcPr>
          <w:p>
            <w:r>
              <w:t>LangGraph pause/resume + API confirmation</w:t>
            </w:r>
          </w:p>
        </w:tc>
        <w:tc>
          <w:tcPr>
            <w:tcW w:type="dxa" w:w="3331"/>
            <w:vAlign w:val="center"/>
          </w:tcPr>
          <w:p>
            <w:r>
              <w:t>Members 1 &amp; 3</w:t>
            </w:r>
          </w:p>
        </w:tc>
      </w:tr>
      <w:tr>
        <w:tc>
          <w:tcPr>
            <w:tcW w:type="dxa" w:w="3331"/>
            <w:vAlign w:val="center"/>
          </w:tcPr>
          <w:p>
            <w:r>
              <w:t>retrieve_evidence()</w:t>
            </w:r>
          </w:p>
        </w:tc>
        <w:tc>
          <w:tcPr>
            <w:tcW w:type="dxa" w:w="3331"/>
            <w:vAlign w:val="center"/>
          </w:tcPr>
          <w:p>
            <w:r>
              <w:t>Approved NHS passages + embeddings / FAISS</w:t>
            </w:r>
          </w:p>
        </w:tc>
        <w:tc>
          <w:tcPr>
            <w:tcW w:type="dxa" w:w="3331"/>
            <w:vAlign w:val="center"/>
          </w:tcPr>
          <w:p>
            <w:r>
              <w:t>Member 2</w:t>
            </w:r>
          </w:p>
        </w:tc>
      </w:tr>
      <w:tr>
        <w:tc>
          <w:tcPr>
            <w:tcW w:type="dxa" w:w="3331"/>
            <w:vAlign w:val="center"/>
          </w:tcPr>
          <w:p>
            <w:r>
              <w:t>generate_explanation()</w:t>
            </w:r>
          </w:p>
        </w:tc>
        <w:tc>
          <w:tcPr>
            <w:tcW w:type="dxa" w:w="3331"/>
            <w:vAlign w:val="center"/>
          </w:tcPr>
          <w:p>
            <w:r>
              <w:t>Local Ollama model with grounded source IDs</w:t>
            </w:r>
          </w:p>
        </w:tc>
        <w:tc>
          <w:tcPr>
            <w:tcW w:type="dxa" w:w="3331"/>
            <w:vAlign w:val="center"/>
          </w:tcPr>
          <w:p>
            <w:r>
              <w:t>Member 2</w:t>
            </w:r>
          </w:p>
        </w:tc>
      </w:tr>
      <w:tr>
        <w:tc>
          <w:tcPr>
            <w:tcW w:type="dxa" w:w="3331"/>
            <w:vAlign w:val="center"/>
          </w:tcPr>
          <w:p>
            <w:r>
              <w:t>validate_response()</w:t>
            </w:r>
          </w:p>
        </w:tc>
        <w:tc>
          <w:tcPr>
            <w:tcW w:type="dxa" w:w="3331"/>
            <w:vAlign w:val="center"/>
          </w:tcPr>
          <w:p>
            <w:r>
              <w:t>Python policy checks, source validation, abstention</w:t>
            </w:r>
          </w:p>
        </w:tc>
        <w:tc>
          <w:tcPr>
            <w:tcW w:type="dxa" w:w="3331"/>
            <w:vAlign w:val="center"/>
          </w:tcPr>
          <w:p>
            <w:r>
              <w:t>Members 1 &amp; 2</w:t>
            </w:r>
          </w:p>
        </w:tc>
      </w:tr>
      <w:tr>
        <w:tc>
          <w:tcPr>
            <w:tcW w:type="dxa" w:w="3331"/>
            <w:vAlign w:val="center"/>
          </w:tcPr>
          <w:p>
            <w:r>
              <w:t>delete_session()</w:t>
            </w:r>
          </w:p>
        </w:tc>
        <w:tc>
          <w:tcPr>
            <w:tcW w:type="dxa" w:w="3331"/>
            <w:vAlign w:val="center"/>
          </w:tcPr>
          <w:p>
            <w:r>
              <w:t>Remove original, redacted artefacts and session state</w:t>
            </w:r>
          </w:p>
        </w:tc>
        <w:tc>
          <w:tcPr>
            <w:tcW w:type="dxa" w:w="3331"/>
            <w:vAlign w:val="center"/>
          </w:tcPr>
          <w:p>
            <w:r>
              <w:t>Member 1</w:t>
            </w:r>
          </w:p>
        </w:tc>
      </w:tr>
      <w:tr>
        <w:tc>
          <w:tcPr>
            <w:tcW w:type="dxa" w:w="3331"/>
            <w:vAlign w:val="center"/>
          </w:tcPr>
          <w:p>
            <w:r>
              <w:t>patient_interface</w:t>
            </w:r>
          </w:p>
        </w:tc>
        <w:tc>
          <w:tcPr>
            <w:tcW w:type="dxa" w:w="3331"/>
            <w:vAlign w:val="center"/>
          </w:tcPr>
          <w:p>
            <w:r>
              <w:t>Streamlit or existing Next.js UI</w:t>
            </w:r>
          </w:p>
        </w:tc>
        <w:tc>
          <w:tcPr>
            <w:tcW w:type="dxa" w:w="3331"/>
            <w:vAlign w:val="center"/>
          </w:tcPr>
          <w:p>
            <w:r>
              <w:t>Member 3</w:t>
            </w:r>
          </w:p>
        </w:tc>
      </w:tr>
      <w:tr>
        <w:tc>
          <w:tcPr>
            <w:tcW w:type="dxa" w:w="3331"/>
            <w:vAlign w:val="center"/>
          </w:tcPr>
          <w:p>
            <w:r>
              <w:t>evaluation</w:t>
            </w:r>
          </w:p>
        </w:tc>
        <w:tc>
          <w:tcPr>
            <w:tcW w:type="dxa" w:w="3331"/>
            <w:vAlign w:val="center"/>
          </w:tcPr>
          <w:p>
            <w:r>
              <w:t>Pytest, synthetic fixtures, manual journey review</w:t>
            </w:r>
          </w:p>
        </w:tc>
        <w:tc>
          <w:tcPr>
            <w:tcW w:type="dxa" w:w="3331"/>
            <w:vAlign w:val="center"/>
          </w:tcPr>
          <w:p>
            <w:r>
              <w:t>Members 1 &amp; 4</w:t>
            </w:r>
          </w:p>
        </w:tc>
      </w:tr>
    </w:tbl>
    <w:p>
      <w:r>
        <w:t>Integration rule: the retrieval/explanation component receives only user confirmed, redacted, structured data, not the original upload. Use typed input/output schemas. MCP is optional; tool functions within LangGraph are sufficient.</w:t>
      </w:r>
    </w:p>
    <w:p>
      <w:pPr>
        <w:pStyle w:val="Heading1"/>
      </w:pPr>
      <w:r>
        <w:t>4. Hackathon themes and responsibility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t>Theme</w:t>
            </w:r>
          </w:p>
        </w:tc>
        <w:tc>
          <w:tcPr>
            <w:tcW w:type="dxa" w:w="3331"/>
            <w:vAlign w:val="center"/>
          </w:tcPr>
          <w:p>
            <w:r>
              <w:t>What to implement or demonstrate</w:t>
            </w:r>
          </w:p>
        </w:tc>
        <w:tc>
          <w:tcPr>
            <w:tcW w:type="dxa" w:w="3331"/>
            <w:vAlign w:val="center"/>
          </w:tcPr>
          <w:p>
            <w:r>
              <w:t>Owner</w:t>
            </w:r>
          </w:p>
        </w:tc>
      </w:tr>
      <w:tr>
        <w:tc>
          <w:tcPr>
            <w:tcW w:type="dxa" w:w="3331"/>
            <w:vAlign w:val="center"/>
          </w:tcPr>
          <w:p>
            <w:r>
              <w:t>Privacy &amp; security</w:t>
            </w:r>
          </w:p>
        </w:tc>
        <w:tc>
          <w:tcPr>
            <w:tcW w:type="dxa" w:w="3331"/>
            <w:vAlign w:val="center"/>
          </w:tcPr>
          <w:p>
            <w:r>
              <w:t>Visible redaction, consent, least privilege, retention limits and tested deletion</w:t>
            </w:r>
          </w:p>
        </w:tc>
        <w:tc>
          <w:tcPr>
            <w:tcW w:type="dxa" w:w="3331"/>
            <w:vAlign w:val="center"/>
          </w:tcPr>
          <w:p>
            <w:r>
              <w:t>Member 1</w:t>
            </w:r>
          </w:p>
        </w:tc>
      </w:tr>
      <w:tr>
        <w:tc>
          <w:tcPr>
            <w:tcW w:type="dxa" w:w="3331"/>
            <w:vAlign w:val="center"/>
          </w:tcPr>
          <w:p>
            <w:r>
              <w:t>Explainability</w:t>
            </w:r>
          </w:p>
        </w:tc>
        <w:tc>
          <w:tcPr>
            <w:tcW w:type="dxa" w:w="3331"/>
            <w:vAlign w:val="center"/>
          </w:tcPr>
          <w:p>
            <w:r>
              <w:t>Verified NHS citations, understandable explanations, limits and abstention</w:t>
            </w:r>
          </w:p>
        </w:tc>
        <w:tc>
          <w:tcPr>
            <w:tcW w:type="dxa" w:w="3331"/>
            <w:vAlign w:val="center"/>
          </w:tcPr>
          <w:p>
            <w:r>
              <w:t>Member 2</w:t>
            </w:r>
          </w:p>
        </w:tc>
      </w:tr>
      <w:tr>
        <w:tc>
          <w:tcPr>
            <w:tcW w:type="dxa" w:w="3331"/>
            <w:vAlign w:val="center"/>
          </w:tcPr>
          <w:p>
            <w:r>
              <w:t>Access</w:t>
            </w:r>
          </w:p>
        </w:tc>
        <w:tc>
          <w:tcPr>
            <w:tcW w:type="dxa" w:w="3331"/>
            <w:vAlign w:val="center"/>
          </w:tcPr>
          <w:p>
            <w:r>
              <w:t>Mobile friendly UI, readable layout, keyboard controls, plain English</w:t>
            </w:r>
          </w:p>
        </w:tc>
        <w:tc>
          <w:tcPr>
            <w:tcW w:type="dxa" w:w="3331"/>
            <w:vAlign w:val="center"/>
          </w:tcPr>
          <w:p>
            <w:r>
              <w:t>Member 3</w:t>
            </w:r>
          </w:p>
        </w:tc>
      </w:tr>
      <w:tr>
        <w:tc>
          <w:tcPr>
            <w:tcW w:type="dxa" w:w="3331"/>
            <w:vAlign w:val="center"/>
          </w:tcPr>
          <w:p>
            <w:r>
              <w:t>Sustainability</w:t>
            </w:r>
          </w:p>
        </w:tc>
        <w:tc>
          <w:tcPr>
            <w:tcW w:type="dxa" w:w="3331"/>
            <w:vAlign w:val="center"/>
          </w:tcPr>
          <w:p>
            <w:r>
              <w:t>Small local model, cached public guidance; measure runtime and memory</w:t>
            </w:r>
          </w:p>
        </w:tc>
        <w:tc>
          <w:tcPr>
            <w:tcW w:type="dxa" w:w="3331"/>
            <w:vAlign w:val="center"/>
          </w:tcPr>
          <w:p>
            <w:r>
              <w:t>Members 2 &amp; 3</w:t>
            </w:r>
          </w:p>
        </w:tc>
      </w:tr>
      <w:tr>
        <w:tc>
          <w:tcPr>
            <w:tcW w:type="dxa" w:w="3331"/>
            <w:vAlign w:val="center"/>
          </w:tcPr>
          <w:p>
            <w:r>
              <w:t>Bias &amp; fairness</w:t>
            </w:r>
          </w:p>
        </w:tc>
        <w:tc>
          <w:tcPr>
            <w:tcW w:type="dxa" w:w="3331"/>
            <w:vAlign w:val="center"/>
          </w:tcPr>
          <w:p>
            <w:r>
              <w:t>Matched synthetic cases with varied names, wording and relevant context</w:t>
            </w:r>
          </w:p>
        </w:tc>
        <w:tc>
          <w:tcPr>
            <w:tcW w:type="dxa" w:w="3331"/>
            <w:vAlign w:val="center"/>
          </w:tcPr>
          <w:p>
            <w:r>
              <w:t>Member 4 + 2</w:t>
            </w:r>
          </w:p>
        </w:tc>
      </w:tr>
      <w:tr>
        <w:tc>
          <w:tcPr>
            <w:tcW w:type="dxa" w:w="3331"/>
            <w:vAlign w:val="center"/>
          </w:tcPr>
          <w:p>
            <w:r>
              <w:t>Safety</w:t>
            </w:r>
          </w:p>
        </w:tc>
        <w:tc>
          <w:tcPr>
            <w:tcW w:type="dxa" w:w="3331"/>
            <w:vAlign w:val="center"/>
          </w:tcPr>
          <w:p>
            <w:r>
              <w:t>Bad OCR, incorrect units, missing references, prescription requests</w:t>
            </w:r>
          </w:p>
        </w:tc>
        <w:tc>
          <w:tcPr>
            <w:tcW w:type="dxa" w:w="3331"/>
            <w:vAlign w:val="center"/>
          </w:tcPr>
          <w:p>
            <w:r>
              <w:t>Members 1 &amp; 4</w:t>
            </w:r>
          </w:p>
        </w:tc>
      </w:tr>
    </w:tbl>
    <w:p>
      <w:pPr>
        <w:pStyle w:val="Heading1"/>
      </w:pPr>
      <w:r>
        <w:t>5. Build sequence and delivery gates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t>Stage</w:t>
            </w:r>
          </w:p>
        </w:tc>
        <w:tc>
          <w:tcPr>
            <w:tcW w:type="dxa" w:w="4997"/>
            <w:vAlign w:val="center"/>
          </w:tcPr>
          <w:p>
            <w:r>
              <w:t>What must be working</w:t>
            </w:r>
          </w:p>
        </w:tc>
      </w:tr>
      <w:tr>
        <w:tc>
          <w:tcPr>
            <w:tcW w:type="dxa" w:w="4997"/>
            <w:vAlign w:val="center"/>
          </w:tcPr>
          <w:p>
            <w:r>
              <w:t>First 60 minutes</w:t>
            </w:r>
          </w:p>
        </w:tc>
        <w:tc>
          <w:tcPr>
            <w:tcW w:type="dxa" w:w="4997"/>
            <w:vAlign w:val="center"/>
          </w:tcPr>
          <w:p>
            <w:r>
              <w:t>Lock synthetic sample, scope, endpoint contracts and content permissions.</w:t>
            </w:r>
          </w:p>
        </w:tc>
      </w:tr>
      <w:tr>
        <w:tc>
          <w:tcPr>
            <w:tcW w:type="dxa" w:w="4997"/>
            <w:vAlign w:val="center"/>
          </w:tcPr>
          <w:p>
            <w:r>
              <w:t>Next 3 hours</w:t>
            </w:r>
          </w:p>
        </w:tc>
        <w:tc>
          <w:tcPr>
            <w:tcW w:type="dxa" w:w="4997"/>
            <w:vAlign w:val="center"/>
          </w:tcPr>
          <w:p>
            <w:r>
              <w:t>Build redaction, retrieval and UI in parallel with mocked dependencies.</w:t>
            </w:r>
          </w:p>
        </w:tc>
      </w:tr>
      <w:tr>
        <w:tc>
          <w:tcPr>
            <w:tcW w:type="dxa" w:w="4997"/>
            <w:vAlign w:val="center"/>
          </w:tcPr>
          <w:p>
            <w:r>
              <w:t>Following 2 hours</w:t>
            </w:r>
          </w:p>
        </w:tc>
        <w:tc>
          <w:tcPr>
            <w:tcW w:type="dxa" w:w="4997"/>
            <w:vAlign w:val="center"/>
          </w:tcPr>
          <w:p>
            <w:r>
              <w:t>Integrate full upload → approval → explanation → deletion workflow.</w:t>
            </w:r>
          </w:p>
        </w:tc>
      </w:tr>
      <w:tr>
        <w:tc>
          <w:tcPr>
            <w:tcW w:type="dxa" w:w="4997"/>
            <w:vAlign w:val="center"/>
          </w:tcPr>
          <w:p>
            <w:r>
              <w:t>Final build phase</w:t>
            </w:r>
          </w:p>
        </w:tc>
        <w:tc>
          <w:tcPr>
            <w:tcW w:type="dxa" w:w="4997"/>
            <w:vAlign w:val="center"/>
          </w:tcPr>
          <w:p>
            <w:r>
              <w:t>Add safe follow ups, tests, accessibility and resource measurements.</w:t>
            </w:r>
          </w:p>
        </w:tc>
      </w:tr>
      <w:tr>
        <w:tc>
          <w:tcPr>
            <w:tcW w:type="dxa" w:w="4997"/>
            <w:vAlign w:val="center"/>
          </w:tcPr>
          <w:p>
            <w:r>
              <w:t>Before Sunday 11 AM</w:t>
            </w:r>
          </w:p>
        </w:tc>
        <w:tc>
          <w:tcPr>
            <w:tcW w:type="dxa" w:w="4997"/>
            <w:vAlign w:val="center"/>
          </w:tcPr>
          <w:p>
            <w:r>
              <w:t>Fresh start test, rehearse three scenarios, freeze changes and prepare demo.</w:t>
            </w:r>
          </w:p>
        </w:tc>
      </w:tr>
    </w:tbl>
    <w:p>
      <w:pPr>
        <w:pStyle w:val="Heading1"/>
      </w:pPr>
      <w:r>
        <w:t>6. Member 4 research and presentation package</w:t>
      </w:r>
    </w:p>
    <w:p>
      <w:pPr>
        <w:pStyle w:val="ListBullet"/>
      </w:pPr>
      <w:r>
        <w:t>One adult patient persona and an annotated journey map describing what the user sees, decides and receives.</w:t>
      </w:r>
    </w:p>
    <w:p>
      <w:pPr>
        <w:pStyle w:val="ListBullet"/>
      </w:pPr>
      <w:r>
        <w:t>Evidence and licensing register for NHS and NICE materials; note any permissions still unresolved.</w:t>
      </w:r>
    </w:p>
    <w:p>
      <w:pPr>
        <w:pStyle w:val="ListBullet"/>
      </w:pPr>
      <w:r>
        <w:t>15 to 20 synthetic scenarios covering redaction, extraction, source gaps, safety and fairness.</w:t>
      </w:r>
    </w:p>
    <w:p>
      <w:pPr>
        <w:pStyle w:val="ListBullet"/>
      </w:pPr>
      <w:r>
        <w:t>Results table with expected versus observed behaviour, including failures and known limitations.</w:t>
      </w:r>
    </w:p>
    <w:p>
      <w:pPr>
        <w:pStyle w:val="ListBullet"/>
      </w:pPr>
      <w:r>
        <w:t>Responsible AI scorecard and short demonstration script for the judges.</w:t>
      </w:r>
    </w:p>
    <w:p>
      <w:pPr>
        <w:pStyle w:val="Heading1"/>
      </w:pPr>
      <w:r>
        <w:t>7. Definition of a successful demonstration</w:t>
      </w:r>
    </w:p>
    <w:p>
      <w:pPr>
        <w:pStyle w:val="ListBullet"/>
      </w:pPr>
      <w:r>
        <w:t>The user uploads a synthetic report and understands what happens to their data.</w:t>
      </w:r>
    </w:p>
    <w:p>
      <w:pPr>
        <w:pStyle w:val="ListBullet"/>
      </w:pPr>
      <w:r>
        <w:t>The system removes identifiable details and shows the redacted report and extracted values for approval.</w:t>
      </w:r>
    </w:p>
    <w:p>
      <w:pPr>
        <w:pStyle w:val="ListBullet"/>
      </w:pPr>
      <w:r>
        <w:t>The explanation uses traceable approved sources and accessible language.</w:t>
      </w:r>
    </w:p>
    <w:p>
      <w:pPr>
        <w:pStyle w:val="ListBullet"/>
      </w:pPr>
      <w:r>
        <w:t>The system refuses unsupported diagnosis or prescription requests.</w:t>
      </w:r>
    </w:p>
    <w:p>
      <w:pPr>
        <w:pStyle w:val="ListBullet"/>
      </w:pPr>
      <w:r>
        <w:t>The user can ask bounded follow up questions, then terminate the session.</w:t>
      </w:r>
    </w:p>
    <w:p>
      <w:pPr>
        <w:pStyle w:val="ListBullet"/>
      </w:pPr>
      <w:r>
        <w:t>Deletion is tested and confirmed without retaining sensitive report content in logs or checkpoints.</w:t>
      </w:r>
    </w:p>
    <w:p>
      <w:r>
        <w:t>Implementation caution: avoid storing raw reports or identifiable OCR text in LangGraph checkpoints, telemetry or logs. Deletion must cover every retained copy. A statement that data was removed is not proof unless the application verifies it.</w:t>
      </w:r>
    </w:p>
    <w:sectPr w:rsidR="00FC693F" w:rsidRPr="0006063C" w:rsidSect="00034616">
      <w:footerReference w:type="default" r:id="rId9"/>
      <w:pgSz w:w="12240" w:h="15840"/>
      <w:pgMar w:top="792" w:right="1123" w:bottom="72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CarePath AI  •  Internal team brief  •  Research prototype using synthetic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25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25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4325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